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2B390A">
      <w:pPr>
        <w:pStyle w:val="BodyText3"/>
        <w:spacing w:line="360" w:lineRule="auto"/>
        <w:rPr>
          <w:b/>
          <w:sz w:val="24"/>
        </w:rPr>
      </w:pPr>
      <w:r>
        <w:rPr>
          <w:b/>
          <w:sz w:val="24"/>
        </w:rPr>
        <w:t>Если парадигмы несоизмеримы, то почему они все-таки меняются?</w:t>
      </w:r>
    </w:p>
    <w:p w:rsidR="00000000" w:rsidRDefault="002B390A">
      <w:pPr>
        <w:pStyle w:val="caaieiaie4"/>
        <w:spacing w:line="360" w:lineRule="auto"/>
        <w:rPr>
          <w:sz w:val="28"/>
        </w:rPr>
      </w:pPr>
      <w:r>
        <w:rPr>
          <w:sz w:val="28"/>
        </w:rPr>
        <w:t>Д.Г.Егоров</w:t>
      </w:r>
    </w:p>
    <w:p w:rsidR="00000000" w:rsidRDefault="002B390A">
      <w:pPr>
        <w:rPr>
          <w:b/>
        </w:rPr>
      </w:pPr>
      <w:r>
        <w:rPr>
          <w:b/>
        </w:rPr>
        <w:t>Вопросы философии. 2006. № 3.</w:t>
      </w:r>
    </w:p>
    <w:p w:rsidR="00000000" w:rsidRDefault="002B390A">
      <w:pPr>
        <w:spacing w:line="360" w:lineRule="auto"/>
        <w:jc w:val="right"/>
        <w:rPr>
          <w:i/>
        </w:rPr>
      </w:pPr>
      <w:r>
        <w:rPr>
          <w:i/>
        </w:rPr>
        <w:t>“…большинство школ правы</w:t>
      </w:r>
    </w:p>
    <w:p w:rsidR="00000000" w:rsidRDefault="002B390A">
      <w:pPr>
        <w:spacing w:line="360" w:lineRule="auto"/>
        <w:jc w:val="right"/>
        <w:rPr>
          <w:i/>
        </w:rPr>
      </w:pPr>
      <w:r>
        <w:rPr>
          <w:i/>
        </w:rPr>
        <w:t xml:space="preserve"> в значительной части своих утверждений,</w:t>
      </w:r>
    </w:p>
    <w:p w:rsidR="00000000" w:rsidRDefault="002B390A">
      <w:pPr>
        <w:spacing w:line="360" w:lineRule="auto"/>
        <w:jc w:val="right"/>
      </w:pPr>
      <w:r>
        <w:rPr>
          <w:i/>
        </w:rPr>
        <w:t xml:space="preserve"> но заблуждаются в том, что они отрицают”</w:t>
      </w:r>
      <w:r>
        <w:t xml:space="preserve"> </w:t>
      </w:r>
    </w:p>
    <w:p w:rsidR="00000000" w:rsidRDefault="002B390A">
      <w:pPr>
        <w:spacing w:line="360" w:lineRule="auto"/>
        <w:jc w:val="right"/>
      </w:pPr>
      <w:r>
        <w:t>Готфрид Лейбниц</w:t>
      </w:r>
    </w:p>
    <w:p w:rsidR="00000000" w:rsidRDefault="002B390A">
      <w:pPr>
        <w:spacing w:line="480" w:lineRule="auto"/>
        <w:ind w:firstLine="284"/>
        <w:jc w:val="right"/>
      </w:pPr>
    </w:p>
    <w:p w:rsidR="00000000" w:rsidRDefault="002B390A">
      <w:pPr>
        <w:pStyle w:val="a3"/>
        <w:spacing w:line="480" w:lineRule="auto"/>
        <w:ind w:firstLine="284"/>
      </w:pPr>
      <w:r>
        <w:t>В настоящей работе мы рассм</w:t>
      </w:r>
      <w:r>
        <w:t>отрим проблему несоизмеримости научных теорий (парадигм</w:t>
      </w:r>
      <w:r>
        <w:rPr>
          <w:rStyle w:val="a6"/>
        </w:rPr>
        <w:footnoteReference w:id="2"/>
      </w:r>
      <w:r>
        <w:t xml:space="preserve">), наиболее остро поставленную в рамках аналитической философии Т.Куном и П.Фейерабендом. Проблема эта может быть сведена к следующим двум вопросам: Как вообще происходит выбор между различными теориями (особенно в момент выдвижения новой концепции)? И содержит ли процедура выбора определенную гарантию того, что новая теория будет лучше старой? </w:t>
      </w:r>
    </w:p>
    <w:p w:rsidR="00000000" w:rsidRDefault="002B390A">
      <w:pPr>
        <w:pStyle w:val="a3"/>
        <w:spacing w:line="480" w:lineRule="auto"/>
        <w:ind w:firstLine="284"/>
      </w:pPr>
      <w:r>
        <w:t>Наше исследование мы начнем с краткого сравнительного анализа методологических подходов к проблеме роста нау</w:t>
      </w:r>
      <w:r>
        <w:t>чного знания в традиции аналитической философии. Для рассматриваемого направления в философии науки характерно большое разнообразие концепций и острая полемика между их авторами или приверженцами. Мы, однако, считаем, что в этих дискуссиях различия между сторонниками той или иной концепции искусственно преувеличиваются: основные образующие данную традицию концепции (во всяком случае – в рамках англоязычной аналитической философии К.Поппера, Т.Куна, И.Лакатоса, П.Фейерабенда) не являются противоречивыми. Раз</w:t>
      </w:r>
      <w:r>
        <w:t xml:space="preserve">ница в схемах развития науки ведущих </w:t>
      </w:r>
      <w:r>
        <w:lastRenderedPageBreak/>
        <w:t>представителей аналитической философии связана, по нашему мнению, с тем, что они реперезентируют различные логические уровни описания процесса научного познания.</w:t>
      </w:r>
    </w:p>
    <w:p w:rsidR="00000000" w:rsidRDefault="002B390A">
      <w:pPr>
        <w:spacing w:line="480" w:lineRule="auto"/>
        <w:ind w:firstLine="284"/>
        <w:jc w:val="both"/>
        <w:rPr>
          <w:sz w:val="24"/>
        </w:rPr>
      </w:pPr>
      <w:r>
        <w:rPr>
          <w:sz w:val="24"/>
        </w:rPr>
        <w:t xml:space="preserve">Отправным пунктом нашего анализа будет философия науки К.Поппера (критический рационализм). Его критика верификации, и, в более широком контексте, индуктивизма в целом, не потеряла </w:t>
      </w:r>
      <w:r>
        <w:rPr>
          <w:sz w:val="24"/>
          <w:lang w:val="en-US"/>
        </w:rPr>
        <w:t>c</w:t>
      </w:r>
      <w:r>
        <w:rPr>
          <w:sz w:val="24"/>
        </w:rPr>
        <w:t xml:space="preserve"> момента первого выхода в 1935 году “Логики научного исследования” своей актуальности. Развитие науки по Попперу происходит методом</w:t>
      </w:r>
      <w:r>
        <w:rPr>
          <w:sz w:val="24"/>
        </w:rPr>
        <w:t xml:space="preserve"> “проб и ошибок” с элиминированием фальсифицированных теорий: сталкиваясь с проблемой, исследователи выдвигают различные теории, при этом теория является научной только в том случае, если она может быть сопоставлена с каким-либо базисным утверждением, и теория должна быть устранена, если она противоречит принятому базисному утверждению. Кроме того, чтобы считаться научной, теория должна предсказывать факты, которые являются новыми, то есть неожиданными с точки зрения предыдущего знания. «</w:t>
      </w:r>
      <w:r>
        <w:rPr>
          <w:color w:val="000000"/>
          <w:sz w:val="24"/>
        </w:rPr>
        <w:t>Утонченный» фальсиф</w:t>
      </w:r>
      <w:r>
        <w:rPr>
          <w:color w:val="000000"/>
          <w:sz w:val="24"/>
        </w:rPr>
        <w:t>икационизм К.Поппера</w:t>
      </w:r>
      <w:r>
        <w:rPr>
          <w:rStyle w:val="a6"/>
          <w:color w:val="000000"/>
          <w:sz w:val="24"/>
        </w:rPr>
        <w:footnoteReference w:id="3"/>
      </w:r>
      <w:r>
        <w:rPr>
          <w:color w:val="000000"/>
          <w:sz w:val="24"/>
        </w:rPr>
        <w:t xml:space="preserve"> предполагает при фальсификации конвенцию, по которой "заранее установлены </w:t>
      </w:r>
      <w:r>
        <w:rPr>
          <w:i/>
          <w:color w:val="000000"/>
          <w:sz w:val="24"/>
        </w:rPr>
        <w:t>критерии опровержения:</w:t>
      </w:r>
      <w:r>
        <w:rPr>
          <w:color w:val="000000"/>
          <w:sz w:val="24"/>
        </w:rPr>
        <w:t xml:space="preserve"> следует договориться относительно того, какие наблюдаемые </w:t>
      </w:r>
      <w:r>
        <w:rPr>
          <w:color w:val="000000"/>
          <w:sz w:val="24"/>
        </w:rPr>
        <w:lastRenderedPageBreak/>
        <w:t>ситуации, если ни будут действительно наблюдаться, означают, что теория опровергнута».</w:t>
      </w:r>
      <w:r>
        <w:rPr>
          <w:rStyle w:val="a6"/>
          <w:color w:val="000000"/>
          <w:sz w:val="24"/>
        </w:rPr>
        <w:footnoteReference w:id="4"/>
      </w:r>
      <w:r>
        <w:rPr>
          <w:color w:val="000000"/>
          <w:sz w:val="24"/>
        </w:rPr>
        <w:t xml:space="preserve"> Иными словами, К.Поппер предлагает</w:t>
      </w:r>
      <w:r>
        <w:rPr>
          <w:sz w:val="24"/>
        </w:rPr>
        <w:t xml:space="preserve"> запрет на гипотезы </w:t>
      </w:r>
      <w:r>
        <w:rPr>
          <w:sz w:val="24"/>
          <w:lang w:val="en-US"/>
        </w:rPr>
        <w:t>ad</w:t>
      </w:r>
      <w:r>
        <w:rPr>
          <w:sz w:val="24"/>
        </w:rPr>
        <w:t xml:space="preserve"> </w:t>
      </w:r>
      <w:r>
        <w:rPr>
          <w:sz w:val="24"/>
          <w:lang w:val="en-US"/>
        </w:rPr>
        <w:t>hoc</w:t>
      </w:r>
      <w:r>
        <w:rPr>
          <w:sz w:val="24"/>
        </w:rPr>
        <w:t>.</w:t>
      </w:r>
    </w:p>
    <w:p w:rsidR="00000000" w:rsidRDefault="002B390A">
      <w:pPr>
        <w:spacing w:line="480" w:lineRule="auto"/>
        <w:ind w:firstLine="284"/>
        <w:jc w:val="both"/>
        <w:rPr>
          <w:sz w:val="24"/>
        </w:rPr>
      </w:pPr>
      <w:r>
        <w:rPr>
          <w:sz w:val="24"/>
        </w:rPr>
        <w:t xml:space="preserve">Критика фальсификационизма Поппера основана на том, что реальная история науки не соответствует его нормативным предписаниям. Ученые защищают свои представления, вводя гипотезы </w:t>
      </w:r>
      <w:r>
        <w:rPr>
          <w:sz w:val="24"/>
          <w:lang w:val="en-US"/>
        </w:rPr>
        <w:t>ad</w:t>
      </w:r>
      <w:r>
        <w:rPr>
          <w:sz w:val="24"/>
        </w:rPr>
        <w:t xml:space="preserve"> </w:t>
      </w:r>
      <w:r>
        <w:rPr>
          <w:sz w:val="24"/>
          <w:lang w:val="en-US"/>
        </w:rPr>
        <w:t>hoc</w:t>
      </w:r>
      <w:r>
        <w:rPr>
          <w:sz w:val="24"/>
        </w:rPr>
        <w:t xml:space="preserve">, </w:t>
      </w:r>
      <w:r>
        <w:rPr>
          <w:sz w:val="24"/>
        </w:rPr>
        <w:t>и делают это упорно - П.Фейерабенд даже вводит методологический принцип “упорства”(</w:t>
      </w:r>
      <w:r>
        <w:rPr>
          <w:sz w:val="24"/>
          <w:lang w:val="en-US"/>
        </w:rPr>
        <w:t>tenacity</w:t>
      </w:r>
      <w:r>
        <w:rPr>
          <w:sz w:val="24"/>
        </w:rPr>
        <w:t>).</w:t>
      </w:r>
      <w:r>
        <w:rPr>
          <w:rStyle w:val="a6"/>
          <w:sz w:val="24"/>
          <w:lang w:val="en-US"/>
        </w:rPr>
        <w:footnoteReference w:id="5"/>
      </w:r>
      <w:r>
        <w:rPr>
          <w:sz w:val="24"/>
        </w:rPr>
        <w:t xml:space="preserve"> При достаточной находчивости можно на протяжении длительного времени защищать любую теорию (безотносительно того, верна эта теория, или же ложна). Как показывает П.Фейерабенд, рациональные стандарты критического рационализма нарушались во многих ситуациях (коперниканская революция, триумф кинетической теории, возникновение квантовой теории, и т.п.): «... а) правила (стандарты) действительно нарушались и наиболее ч</w:t>
      </w:r>
      <w:r>
        <w:rPr>
          <w:sz w:val="24"/>
        </w:rPr>
        <w:t>уткие ученые это осознавали; б) они должны были нарушаться. Строгое соблюдение правил не улучшило бы дела, а задержало прогресс науки.»</w:t>
      </w:r>
      <w:r>
        <w:rPr>
          <w:rStyle w:val="a6"/>
          <w:sz w:val="24"/>
        </w:rPr>
        <w:footnoteReference w:id="6"/>
      </w:r>
      <w:r>
        <w:rPr>
          <w:sz w:val="24"/>
        </w:rPr>
        <w:t xml:space="preserve"> Яркие примеры нарушения рациональных стандартов: «отсутствие содержания – атомная теория в течение нескольких столетий; идея движения Земли у Филолая; противоречивость – программа Бора…; обширный конфликт с экспериментальными результатами – идея движения Земли…»</w:t>
      </w:r>
      <w:r>
        <w:rPr>
          <w:rStyle w:val="a6"/>
          <w:sz w:val="24"/>
        </w:rPr>
        <w:footnoteReference w:id="7"/>
      </w:r>
      <w:r>
        <w:rPr>
          <w:sz w:val="24"/>
        </w:rPr>
        <w:t xml:space="preserve"> </w:t>
      </w:r>
    </w:p>
    <w:p w:rsidR="00000000" w:rsidRDefault="002B390A">
      <w:pPr>
        <w:spacing w:line="480" w:lineRule="auto"/>
        <w:ind w:firstLine="284"/>
        <w:jc w:val="both"/>
        <w:rPr>
          <w:sz w:val="24"/>
        </w:rPr>
      </w:pPr>
      <w:r>
        <w:rPr>
          <w:sz w:val="24"/>
        </w:rPr>
        <w:t xml:space="preserve">Для преодоления этих несоответствий И.Лакатос предлагает свою концепцию </w:t>
      </w:r>
      <w:r>
        <w:rPr>
          <w:i/>
          <w:sz w:val="24"/>
        </w:rPr>
        <w:t>исследовательских программ.</w:t>
      </w:r>
      <w:r>
        <w:rPr>
          <w:sz w:val="24"/>
        </w:rPr>
        <w:t xml:space="preserve"> Исследоват</w:t>
      </w:r>
      <w:r>
        <w:rPr>
          <w:sz w:val="24"/>
        </w:rPr>
        <w:t xml:space="preserve">ельская программа «включает в себя конвенционально принятое (и поэтому </w:t>
      </w:r>
      <w:r>
        <w:rPr>
          <w:sz w:val="24"/>
          <w:lang w:val="en-US"/>
        </w:rPr>
        <w:t>a</w:t>
      </w:r>
      <w:r>
        <w:rPr>
          <w:sz w:val="24"/>
        </w:rPr>
        <w:t xml:space="preserve"> </w:t>
      </w:r>
      <w:r>
        <w:rPr>
          <w:sz w:val="24"/>
          <w:lang w:val="en-US"/>
        </w:rPr>
        <w:t>priori</w:t>
      </w:r>
      <w:r>
        <w:rPr>
          <w:sz w:val="24"/>
        </w:rPr>
        <w:t xml:space="preserve"> неопровержимое) “жесткое ядро” и “позитивную эвристику”, которая определяет проблемы для исследования…»</w:t>
      </w:r>
      <w:r>
        <w:rPr>
          <w:rStyle w:val="a6"/>
          <w:sz w:val="24"/>
        </w:rPr>
        <w:footnoteReference w:id="8"/>
      </w:r>
      <w:r>
        <w:rPr>
          <w:sz w:val="24"/>
        </w:rPr>
        <w:t xml:space="preserve"> Для защиты «жесткого ядра» исследователь </w:t>
      </w:r>
      <w:r>
        <w:rPr>
          <w:sz w:val="24"/>
        </w:rPr>
        <w:lastRenderedPageBreak/>
        <w:t xml:space="preserve">вводит, если требуется, гипотезы </w:t>
      </w:r>
      <w:r>
        <w:rPr>
          <w:sz w:val="24"/>
          <w:lang w:val="en-US"/>
        </w:rPr>
        <w:t>ad</w:t>
      </w:r>
      <w:r>
        <w:rPr>
          <w:sz w:val="24"/>
        </w:rPr>
        <w:t xml:space="preserve"> </w:t>
      </w:r>
      <w:r>
        <w:rPr>
          <w:sz w:val="24"/>
          <w:lang w:val="en-US"/>
        </w:rPr>
        <w:t>hoc</w:t>
      </w:r>
      <w:r>
        <w:rPr>
          <w:sz w:val="24"/>
        </w:rPr>
        <w:t>. На практике фальсифицировать гипотезу оказывается невозможно, да и не нужно, так как регрессирующая в настоящий момент программа может впоследствии стать прогрессирующей. В основе оценки той или иной исследовательской программы лежит исторически</w:t>
      </w:r>
      <w:r>
        <w:rPr>
          <w:sz w:val="24"/>
        </w:rPr>
        <w:t xml:space="preserve">й критерий: «Исследовательская программа считается </w:t>
      </w:r>
      <w:r>
        <w:rPr>
          <w:i/>
          <w:sz w:val="24"/>
        </w:rPr>
        <w:t>прогрессирующей</w:t>
      </w:r>
      <w:r>
        <w:rPr>
          <w:sz w:val="24"/>
        </w:rPr>
        <w:t xml:space="preserve"> тогда, когда ее теоретический рост предвосхищает ее эмпирический рост, то есть когда она с некоторым успехом может предсказывать новые факты… программа </w:t>
      </w:r>
      <w:r>
        <w:rPr>
          <w:i/>
          <w:sz w:val="24"/>
        </w:rPr>
        <w:t>регрессирует,</w:t>
      </w:r>
      <w:r>
        <w:rPr>
          <w:sz w:val="24"/>
        </w:rPr>
        <w:t xml:space="preserve"> если ее теоретический рост отстает от ее эмпирического роста, то есть когда она дает только запоздалые объяснения либо случайных открытий, либо фактов, предвосхищаемых и открываемых конкурирующей программой…»</w:t>
      </w:r>
      <w:r>
        <w:rPr>
          <w:rStyle w:val="a6"/>
          <w:sz w:val="24"/>
        </w:rPr>
        <w:footnoteReference w:id="9"/>
      </w:r>
      <w:r>
        <w:rPr>
          <w:sz w:val="24"/>
        </w:rPr>
        <w:t xml:space="preserve"> </w:t>
      </w:r>
    </w:p>
    <w:p w:rsidR="00000000" w:rsidRDefault="002B390A">
      <w:pPr>
        <w:spacing w:line="480" w:lineRule="auto"/>
        <w:ind w:firstLine="284"/>
        <w:jc w:val="both"/>
        <w:rPr>
          <w:sz w:val="24"/>
        </w:rPr>
      </w:pPr>
      <w:r>
        <w:rPr>
          <w:sz w:val="24"/>
        </w:rPr>
        <w:t xml:space="preserve">По нашему мнению, </w:t>
      </w:r>
      <w:r>
        <w:rPr>
          <w:sz w:val="24"/>
          <w:lang w:val="en-US"/>
        </w:rPr>
        <w:t>c</w:t>
      </w:r>
      <w:r>
        <w:rPr>
          <w:sz w:val="24"/>
        </w:rPr>
        <w:t>ущность развития И.Лакатосом идей К.Поппера – отк</w:t>
      </w:r>
      <w:r>
        <w:rPr>
          <w:sz w:val="24"/>
        </w:rPr>
        <w:t xml:space="preserve">аз от </w:t>
      </w:r>
      <w:r>
        <w:rPr>
          <w:i/>
          <w:sz w:val="24"/>
        </w:rPr>
        <w:t>нормативного</w:t>
      </w:r>
      <w:r>
        <w:rPr>
          <w:sz w:val="24"/>
        </w:rPr>
        <w:t xml:space="preserve"> требования элиминации гипотез, не прошедших проверку. Концепция П.Фейерабенда есть ни что иное, как концепция И.Лакатоса, но с отказом также и от </w:t>
      </w:r>
      <w:r>
        <w:rPr>
          <w:i/>
          <w:sz w:val="24"/>
        </w:rPr>
        <w:t>рационального</w:t>
      </w:r>
      <w:r>
        <w:rPr>
          <w:sz w:val="24"/>
        </w:rPr>
        <w:t xml:space="preserve"> сопоставления гипотез между собой (концепция несоизмеримости): «Классы содержания некоторых теорий несравнимы в том смысле, что между ними нельзя установить ни одного из обычных логических отношений (включения, исключения, пересечения).»</w:t>
      </w:r>
      <w:r>
        <w:rPr>
          <w:rStyle w:val="a6"/>
          <w:sz w:val="24"/>
        </w:rPr>
        <w:footnoteReference w:id="10"/>
      </w:r>
      <w:r>
        <w:rPr>
          <w:sz w:val="24"/>
        </w:rPr>
        <w:t xml:space="preserve"> Схема «защитного пояса» научной программы, берущего на себя удар при столкновении с противореч</w:t>
      </w:r>
      <w:r>
        <w:rPr>
          <w:sz w:val="24"/>
        </w:rPr>
        <w:t xml:space="preserve">ивыми фактами путем потери или видоизменения второстепенных теорий эквивалентна введению дополнительных утверждений </w:t>
      </w:r>
      <w:r>
        <w:rPr>
          <w:sz w:val="24"/>
          <w:lang w:val="en-US"/>
        </w:rPr>
        <w:t>ad</w:t>
      </w:r>
      <w:r>
        <w:rPr>
          <w:sz w:val="24"/>
        </w:rPr>
        <w:t xml:space="preserve"> </w:t>
      </w:r>
      <w:r>
        <w:rPr>
          <w:sz w:val="24"/>
          <w:lang w:val="en-US"/>
        </w:rPr>
        <w:t>hoc</w:t>
      </w:r>
      <w:r>
        <w:rPr>
          <w:sz w:val="24"/>
        </w:rPr>
        <w:t xml:space="preserve"> для спасения субъективно привлекательной гипотезы «научным анархистом» П.Фейерабенда. Раз мы не можем быть уверены, что та или иная концепция окончательно и бесповоротно фальсифицирована, то в </w:t>
      </w:r>
      <w:r>
        <w:rPr>
          <w:sz w:val="24"/>
        </w:rPr>
        <w:lastRenderedPageBreak/>
        <w:t>таком случае разумно проявлять упорство (впрочем, не менее разумно и отказываться от одной концепции ради другой – «все позволено» (</w:t>
      </w:r>
      <w:r>
        <w:rPr>
          <w:sz w:val="24"/>
          <w:lang w:val="en-US"/>
        </w:rPr>
        <w:t>anything</w:t>
      </w:r>
      <w:r>
        <w:rPr>
          <w:sz w:val="24"/>
        </w:rPr>
        <w:t xml:space="preserve"> </w:t>
      </w:r>
      <w:r>
        <w:rPr>
          <w:sz w:val="24"/>
          <w:lang w:val="en-US"/>
        </w:rPr>
        <w:t>goes</w:t>
      </w:r>
      <w:r>
        <w:rPr>
          <w:sz w:val="24"/>
        </w:rPr>
        <w:t>)</w:t>
      </w:r>
      <w:r>
        <w:rPr>
          <w:rStyle w:val="a6"/>
          <w:sz w:val="24"/>
        </w:rPr>
        <w:footnoteReference w:id="11"/>
      </w:r>
      <w:r>
        <w:rPr>
          <w:sz w:val="24"/>
        </w:rPr>
        <w:t xml:space="preserve">). </w:t>
      </w:r>
    </w:p>
    <w:p w:rsidR="00000000" w:rsidRDefault="002B390A">
      <w:pPr>
        <w:spacing w:line="480" w:lineRule="auto"/>
        <w:ind w:firstLine="284"/>
        <w:jc w:val="both"/>
        <w:rPr>
          <w:sz w:val="24"/>
        </w:rPr>
      </w:pPr>
      <w:r>
        <w:rPr>
          <w:sz w:val="24"/>
        </w:rPr>
        <w:t>Проведем анализ рассмотренных концепций. По н</w:t>
      </w:r>
      <w:r>
        <w:rPr>
          <w:sz w:val="24"/>
        </w:rPr>
        <w:t xml:space="preserve">ашему мнению, разница между ними заключается в разной степени абстрагирования, принимаемой при их построении. Соотношение между критическим рационализмом К.Поппера и концепцией научных программ то же, что между экономической теорией совершенной конкуренции, построенной по принципу </w:t>
      </w:r>
      <w:r>
        <w:rPr>
          <w:sz w:val="24"/>
          <w:lang w:val="en-US"/>
        </w:rPr>
        <w:t>laissez</w:t>
      </w:r>
      <w:r>
        <w:rPr>
          <w:sz w:val="24"/>
        </w:rPr>
        <w:t xml:space="preserve"> </w:t>
      </w:r>
      <w:r>
        <w:rPr>
          <w:sz w:val="24"/>
          <w:lang w:val="en-US"/>
        </w:rPr>
        <w:t>faire</w:t>
      </w:r>
      <w:r>
        <w:rPr>
          <w:sz w:val="24"/>
        </w:rPr>
        <w:t>, и объективными рыночными реалиями. Так же как закон спроса-предложения действует в полной мере при наличии нескольких предпосылок (однородные и делимые продукты, достаточно большое число покупателей и продавцов, нал</w:t>
      </w:r>
      <w:r>
        <w:rPr>
          <w:sz w:val="24"/>
        </w:rPr>
        <w:t>ичие у всех них полной информации о рынке и т.д.</w:t>
      </w:r>
      <w:r>
        <w:rPr>
          <w:rStyle w:val="a6"/>
          <w:sz w:val="24"/>
        </w:rPr>
        <w:footnoteReference w:id="12"/>
      </w:r>
      <w:r>
        <w:rPr>
          <w:sz w:val="24"/>
        </w:rPr>
        <w:t>), также и схема Поппера имеет нормативную силу в некотором идеализированном случае. Суть этих идеализаций, по нашему мнению:</w:t>
      </w:r>
    </w:p>
    <w:p w:rsidR="00000000" w:rsidRDefault="002B390A" w:rsidP="004B71BA">
      <w:pPr>
        <w:numPr>
          <w:ilvl w:val="0"/>
          <w:numId w:val="1"/>
        </w:numPr>
        <w:tabs>
          <w:tab w:val="left" w:pos="720"/>
        </w:tabs>
        <w:spacing w:line="480" w:lineRule="auto"/>
        <w:ind w:left="720" w:firstLine="284"/>
        <w:jc w:val="both"/>
        <w:rPr>
          <w:sz w:val="24"/>
        </w:rPr>
      </w:pPr>
      <w:r>
        <w:rPr>
          <w:sz w:val="24"/>
        </w:rPr>
        <w:t>идеальные исследователи (обладают всей полнотой информации в своей отрасли знания, как в области фактов, так и всего спектра гипотез, критично анализируют результаты исследований, и т.д.);</w:t>
      </w:r>
    </w:p>
    <w:p w:rsidR="00000000" w:rsidRDefault="002B390A" w:rsidP="004B71BA">
      <w:pPr>
        <w:numPr>
          <w:ilvl w:val="0"/>
          <w:numId w:val="1"/>
        </w:numPr>
        <w:tabs>
          <w:tab w:val="left" w:pos="720"/>
        </w:tabs>
        <w:spacing w:line="480" w:lineRule="auto"/>
        <w:ind w:left="720" w:firstLine="284"/>
        <w:jc w:val="both"/>
        <w:rPr>
          <w:sz w:val="24"/>
        </w:rPr>
      </w:pPr>
      <w:r>
        <w:rPr>
          <w:sz w:val="24"/>
        </w:rPr>
        <w:t>идеальный эмпирический базис (содержание которого может быть основанием для полной фальсификации теории).</w:t>
      </w:r>
    </w:p>
    <w:p w:rsidR="00000000" w:rsidRDefault="002B390A">
      <w:pPr>
        <w:pStyle w:val="BodyText21"/>
        <w:spacing w:line="480" w:lineRule="auto"/>
        <w:ind w:left="0" w:firstLine="284"/>
        <w:jc w:val="both"/>
        <w:rPr>
          <w:rFonts w:ascii="Times New Roman" w:hAnsi="Times New Roman"/>
          <w:sz w:val="24"/>
        </w:rPr>
      </w:pPr>
      <w:r>
        <w:rPr>
          <w:rFonts w:ascii="Times New Roman" w:hAnsi="Times New Roman"/>
          <w:sz w:val="24"/>
        </w:rPr>
        <w:t>Роль второго условия у Поппера выполняет к</w:t>
      </w:r>
      <w:r>
        <w:rPr>
          <w:rFonts w:ascii="Times New Roman" w:hAnsi="Times New Roman"/>
          <w:sz w:val="24"/>
        </w:rPr>
        <w:t>онвенциональное соглашение о правилах фальсификации – однако требование относиться к ней как к методологической норме и есть по существу идеализация, при которой мы абстрагируемся от возможной ошибочности нашей конвенции.</w:t>
      </w:r>
    </w:p>
    <w:p w:rsidR="00000000" w:rsidRDefault="002B390A">
      <w:pPr>
        <w:pStyle w:val="BodyText20"/>
        <w:ind w:firstLine="284"/>
        <w:jc w:val="both"/>
        <w:rPr>
          <w:caps w:val="0"/>
          <w:lang w:val="ru-RU"/>
        </w:rPr>
      </w:pPr>
      <w:r>
        <w:rPr>
          <w:caps w:val="0"/>
          <w:lang w:val="ru-RU"/>
        </w:rPr>
        <w:lastRenderedPageBreak/>
        <w:t xml:space="preserve">Концепция научных программ – это отказ от второй идеализации, признание факта, что никакая конвенция не может обеспечить исследователя четкими критериями, какие факты действительно являются фальсификаторами, а какие при дальнейшем развитии смежных отраслей знания будут дискредитированы. </w:t>
      </w:r>
    </w:p>
    <w:p w:rsidR="00000000" w:rsidRDefault="002B390A">
      <w:pPr>
        <w:spacing w:line="480" w:lineRule="auto"/>
        <w:ind w:firstLine="284"/>
        <w:jc w:val="both"/>
        <w:rPr>
          <w:sz w:val="24"/>
        </w:rPr>
      </w:pPr>
      <w:r>
        <w:rPr>
          <w:sz w:val="24"/>
        </w:rPr>
        <w:t>В</w:t>
      </w:r>
      <w:r>
        <w:rPr>
          <w:sz w:val="24"/>
        </w:rPr>
        <w:t xml:space="preserve"> предлагаемом нами подходе концепция научных революций Т.Куна есть отказ от </w:t>
      </w:r>
      <w:r>
        <w:rPr>
          <w:i/>
          <w:sz w:val="24"/>
        </w:rPr>
        <w:t>обеих</w:t>
      </w:r>
      <w:r>
        <w:rPr>
          <w:sz w:val="24"/>
        </w:rPr>
        <w:t xml:space="preserve"> этих идеализаций. Как нам представляется, несмотря на огромный поток литературы, который породил выход в свет в 1962 году работы Куна «Структура научных революций», этому аспекту (в некотором роде логической «несоизмеримости» подходов Т.Куна и К.Поппера) не было уделено достаточного внимания, может быть потому, что сам Т.Кун это не формулировал в явном виде. Если К.Поппер, будучи по своей основной специальности логиком, в свое</w:t>
      </w:r>
      <w:r>
        <w:rPr>
          <w:sz w:val="24"/>
        </w:rPr>
        <w:t xml:space="preserve">й модели развития науки отталкивается от логических противоречий в индуктивной модели роста знания, то Кун строит свою модель как идеализированную историю науки. Как отмечает М.А.Розов, “концепция Куна знаменует уже совсем иное видение науки по сравнению с нормативным подходом Венского кружка или К.Поппера. В центре внимания последних - ученый, принимающий решения и выступающий как определяющая и движущая сила в развитии науки... В модели Куна происходит полная смена ролей: здесь уже наука в лице парадигмы </w:t>
      </w:r>
      <w:r>
        <w:rPr>
          <w:sz w:val="24"/>
        </w:rPr>
        <w:t>диктует ученому свою волю, выступая как некая безликая сила, а ученый - это всего лишь выразитель требований своего времени. Кун вскрывает и природу науки как надличностного явления…»</w:t>
      </w:r>
      <w:r>
        <w:rPr>
          <w:rStyle w:val="a6"/>
          <w:sz w:val="24"/>
        </w:rPr>
        <w:footnoteReference w:id="13"/>
      </w:r>
      <w:r>
        <w:rPr>
          <w:sz w:val="24"/>
        </w:rPr>
        <w:t xml:space="preserve"> Закономерности, которые Кун эмпирически обнаруживает, не согласуются с концепциями Поппера и Лакатоса именно потому, что исследователь Т.Куна – это не идеальный исследователь К.Поппера. Таким образом, концепция Т.Куна выходит за рамки методологии, </w:t>
      </w:r>
      <w:r>
        <w:rPr>
          <w:sz w:val="24"/>
        </w:rPr>
        <w:lastRenderedPageBreak/>
        <w:t>являясь скорее научно-социологической, так как описывает, как развивается наука</w:t>
      </w:r>
      <w:r>
        <w:rPr>
          <w:sz w:val="24"/>
        </w:rPr>
        <w:t xml:space="preserve"> в обществе реальных (т.е. подчиняющихся законам психологии) ученых. Концепция К.Поппера – это логически непротиворечивая абстракция, отражающая многие тонкости роста научного знания, но отражающая действительность настолько, насколько выполняются требуемые ею идеализации. </w:t>
      </w:r>
    </w:p>
    <w:p w:rsidR="00000000" w:rsidRDefault="002B390A">
      <w:pPr>
        <w:pStyle w:val="oaenoniinee"/>
        <w:spacing w:line="480" w:lineRule="auto"/>
        <w:ind w:firstLine="284"/>
        <w:jc w:val="both"/>
        <w:rPr>
          <w:rStyle w:val="iiianoaieou"/>
          <w:sz w:val="24"/>
        </w:rPr>
      </w:pPr>
      <w:r>
        <w:rPr>
          <w:sz w:val="24"/>
        </w:rPr>
        <w:t>В связи с вышесказанным в модели Куна могут быть рассмотрены такие аспекты реального процесса научного познания, которые остаются за рамками концепций с более сильными базовыми идеализациями. Так, в методологии научных программ Лакатос п</w:t>
      </w:r>
      <w:r>
        <w:rPr>
          <w:sz w:val="24"/>
        </w:rPr>
        <w:t xml:space="preserve">роводит логическую реконструкцию истории познания в виде «внутренней истории», содержанием которой является критический диалог конкурирующих программ. «Твердое ядро» программы реконструируется на основе реального содержания идей той или иной программы (как это представляется теперь историку или методологу науки), а не того, что об этом думали сами субъекты научного сообщества. Их деятельность, однако, могла направляться (и направлялась) не только реконструированными </w:t>
      </w:r>
      <w:r>
        <w:rPr>
          <w:sz w:val="24"/>
          <w:lang w:val="en-US"/>
        </w:rPr>
        <w:t>post</w:t>
      </w:r>
      <w:r>
        <w:rPr>
          <w:sz w:val="24"/>
        </w:rPr>
        <w:t xml:space="preserve"> </w:t>
      </w:r>
      <w:r>
        <w:rPr>
          <w:sz w:val="24"/>
          <w:lang w:val="en-US"/>
        </w:rPr>
        <w:t>hoc</w:t>
      </w:r>
      <w:r>
        <w:rPr>
          <w:sz w:val="24"/>
        </w:rPr>
        <w:t xml:space="preserve"> принципами, но и комплексом прин</w:t>
      </w:r>
      <w:r>
        <w:rPr>
          <w:sz w:val="24"/>
        </w:rPr>
        <w:t xml:space="preserve">ципов и подсознательных убеждений, оказавшимися ложными и случайными. Лакатос не считает нужным анализировать такие влияния, относя их к «внешней истории», для методологии научных программ несущественной. Однако и ошибочные убеждения также оказывают влияние на ход научного развития – хорошим примером здесь может служить влияние индуктивизма Бэкона на труды Ньютона. </w:t>
      </w:r>
    </w:p>
    <w:p w:rsidR="00000000" w:rsidRDefault="002B390A">
      <w:pPr>
        <w:spacing w:line="480" w:lineRule="auto"/>
        <w:ind w:firstLine="284"/>
        <w:jc w:val="both"/>
        <w:rPr>
          <w:sz w:val="24"/>
        </w:rPr>
      </w:pPr>
      <w:r>
        <w:rPr>
          <w:sz w:val="24"/>
        </w:rPr>
        <w:t xml:space="preserve">Одним из основных пунктов критики модели Куна является момент перехода от «нормальной науки» (ученый работает в рамках некоторой традиции, или </w:t>
      </w:r>
      <w:r>
        <w:rPr>
          <w:sz w:val="24"/>
        </w:rPr>
        <w:t xml:space="preserve">парадигмы) к «научной революции» </w:t>
      </w:r>
      <w:r>
        <w:rPr>
          <w:sz w:val="24"/>
        </w:rPr>
        <w:lastRenderedPageBreak/>
        <w:t>(ученый выходит за пределы традиции). Как такое может происходить? Наш ответ на это таков – если сохранить в модели “идеального исследователя” – никак. Неидеальный же исследователь привносит с собою в проблему, до того строго методологическую, реальную психологию научного исследования. Т.Кун обнаруживает, что подавляющее большинство исследователей принимают в своей работе некую парадигму. Но почему они это делают? И почему некоторые исследователи оказываются способны выйти з</w:t>
      </w:r>
      <w:r>
        <w:rPr>
          <w:sz w:val="24"/>
        </w:rPr>
        <w:t>а ее пределы? То, что оба этих процесса происходят, как правило, неосознанно, не есть их объяснение – задача философии науки и заключается в рефлексии над вроде бы очевидными явлениями. На наш взгляд, ответ на поставленные вопросы может быть найден, если мы примем как модель научного мышления разработанную в рамках нейро-лингвистического программирования (НЛП) на основе теории логических типов Б.Рассела</w:t>
      </w:r>
      <w:r>
        <w:rPr>
          <w:b/>
          <w:sz w:val="24"/>
        </w:rPr>
        <w:t xml:space="preserve"> </w:t>
      </w:r>
      <w:r>
        <w:rPr>
          <w:sz w:val="24"/>
        </w:rPr>
        <w:t>схему мета-уровней мышления.</w:t>
      </w:r>
      <w:r>
        <w:rPr>
          <w:rStyle w:val="a6"/>
          <w:sz w:val="24"/>
        </w:rPr>
        <w:footnoteReference w:id="14"/>
      </w:r>
      <w:r>
        <w:rPr>
          <w:sz w:val="24"/>
        </w:rPr>
        <w:t xml:space="preserve"> Составляющие парадигму элементы дисциплинарной матрицы (символические обобщ</w:t>
      </w:r>
      <w:r>
        <w:rPr>
          <w:sz w:val="24"/>
        </w:rPr>
        <w:t>ения, убеждения в специфических моделях, ценностные установки, образцы деятельности)</w:t>
      </w:r>
      <w:r>
        <w:rPr>
          <w:rStyle w:val="a6"/>
          <w:sz w:val="24"/>
        </w:rPr>
        <w:footnoteReference w:id="15"/>
      </w:r>
      <w:r>
        <w:rPr>
          <w:sz w:val="24"/>
        </w:rPr>
        <w:t xml:space="preserve"> составляют мета-уровень по отношению к повседневной научной деятельности ученого. За исключением первого компонента (символических обобщений), передача дисциплинарной матрицы происходит на подсознательном уровне, от учителя к ученику («неявные знания» по М.Полани</w:t>
      </w:r>
      <w:r>
        <w:rPr>
          <w:rStyle w:val="a6"/>
          <w:sz w:val="24"/>
        </w:rPr>
        <w:footnoteReference w:id="16"/>
      </w:r>
      <w:r>
        <w:rPr>
          <w:sz w:val="24"/>
        </w:rPr>
        <w:t>). Соответственно, по большей части в процессе исследования они не осознаются – при решении обычных задач дисциплинарная матрица выполняет роль автоматических нав</w:t>
      </w:r>
      <w:r>
        <w:rPr>
          <w:sz w:val="24"/>
        </w:rPr>
        <w:t xml:space="preserve">ыков, вроде </w:t>
      </w:r>
      <w:r>
        <w:rPr>
          <w:sz w:val="24"/>
        </w:rPr>
        <w:lastRenderedPageBreak/>
        <w:t>навыков вождения машины или ходьбы.</w:t>
      </w:r>
      <w:r>
        <w:rPr>
          <w:rStyle w:val="a6"/>
          <w:sz w:val="24"/>
        </w:rPr>
        <w:footnoteReference w:id="17"/>
      </w:r>
      <w:r>
        <w:rPr>
          <w:sz w:val="24"/>
        </w:rPr>
        <w:t xml:space="preserve"> Пересаживаясь на другую модель машины, с другой системой управления, шофер не может пользоваться прежней «матрицей управления» – в этот момент он вынужден выполнить умственное усилие на двух логических уровнях. На одном логическом уровне он выполняет последовательность действий по запуску машины, а на более высоком, уровне мета-программирования по отношению к начальному, он определяет, зачем и каким образом он это делает. После того, как тренировка проведена,</w:t>
      </w:r>
      <w:r>
        <w:rPr>
          <w:sz w:val="24"/>
        </w:rPr>
        <w:t xml:space="preserve"> навыки уходят в подсознание, и управление машиной происходит на одном логическом уровне осознания. Аналогично этому, принимаемая парадигма минимизирует количество осуществляемых исследователем ментальных операций, позволяя решать научные задачи, оставаясь на одном логическом уровне осознания. Столкновение с задачей, имеющей иную структуру, нежели эталоны, на которой парадигма и создается, требует перехода на более высокий уровень осознания исследовательских процедур. «Идеальный ученый», подразумеваемый схе</w:t>
      </w:r>
      <w:r>
        <w:rPr>
          <w:sz w:val="24"/>
        </w:rPr>
        <w:t xml:space="preserve">мами К.Поппера и И.Лакатоса, естественно, тут же это сделает, проведет анализ соответствия парадигмального подхода с «аномальной ситуацией», разработает новую теорию, и т.д. – у него в любой момент времени есть доступ ко всем своим личностным ресурсам и любой информации в своей отрасли знания, в том числе к полному списку методологических принципов, лежащих в основе принятой им парадигмы. </w:t>
      </w:r>
    </w:p>
    <w:p w:rsidR="00000000" w:rsidRDefault="002B390A">
      <w:pPr>
        <w:spacing w:line="480" w:lineRule="auto"/>
        <w:ind w:firstLine="284"/>
        <w:jc w:val="both"/>
        <w:rPr>
          <w:sz w:val="24"/>
        </w:rPr>
      </w:pPr>
      <w:r>
        <w:rPr>
          <w:sz w:val="24"/>
        </w:rPr>
        <w:t>Принципиальные возможности для этого создает, по мнению М.А.Розова и В.С.Степина, взаимодействие парадигм (исследовател</w:t>
      </w:r>
      <w:r>
        <w:rPr>
          <w:sz w:val="24"/>
        </w:rPr>
        <w:t xml:space="preserve">ьских программ): «Ученый у Куна жестко запрограммирован… Однако, если программ достаточно много, то ученый приобретает свободу </w:t>
      </w:r>
      <w:r>
        <w:rPr>
          <w:sz w:val="24"/>
        </w:rPr>
        <w:lastRenderedPageBreak/>
        <w:t>выбора…»; «множественность парадигм подает надежду, ибо у нас появляется возможность их взаимодействия… При этом механизм взаимодействия связан с рефлексивной симметрией различных дисциплин»;</w:t>
      </w:r>
      <w:r>
        <w:rPr>
          <w:rStyle w:val="a6"/>
          <w:sz w:val="24"/>
        </w:rPr>
        <w:footnoteReference w:id="18"/>
      </w:r>
      <w:r>
        <w:rPr>
          <w:sz w:val="24"/>
        </w:rPr>
        <w:t xml:space="preserve"> «Модельные представления задают образ структуры (гештальт), который переносится на новую предметную область и по-новому организует ранее накопленные элементы знаний об этой области (понятия, и</w:t>
      </w:r>
      <w:r>
        <w:rPr>
          <w:sz w:val="24"/>
        </w:rPr>
        <w:t>деализации и т.п.)»</w:t>
      </w:r>
      <w:r>
        <w:rPr>
          <w:rStyle w:val="a6"/>
          <w:sz w:val="24"/>
        </w:rPr>
        <w:footnoteReference w:id="19"/>
      </w:r>
      <w:r>
        <w:rPr>
          <w:sz w:val="24"/>
        </w:rPr>
        <w:t>. Это же ранее утверждал М.Планк: «…основа творческого мышления – отождествление идей или явлений, которые считались совершенно несопоставимыми.»</w:t>
      </w:r>
      <w:r>
        <w:rPr>
          <w:rStyle w:val="a6"/>
          <w:sz w:val="24"/>
        </w:rPr>
        <w:footnoteReference w:id="20"/>
      </w:r>
      <w:r>
        <w:rPr>
          <w:sz w:val="24"/>
        </w:rPr>
        <w:t xml:space="preserve"> </w:t>
      </w:r>
    </w:p>
    <w:p w:rsidR="00000000" w:rsidRDefault="002B390A">
      <w:pPr>
        <w:spacing w:line="480" w:lineRule="auto"/>
        <w:ind w:firstLine="284"/>
        <w:jc w:val="both"/>
        <w:rPr>
          <w:sz w:val="24"/>
        </w:rPr>
      </w:pPr>
      <w:r>
        <w:rPr>
          <w:sz w:val="24"/>
        </w:rPr>
        <w:t xml:space="preserve"> Эти тезисы, по нашему мнению, верны – для «идеального ученого». Отличие реального ученого от идеального – в количестве мета-уровней осознания, доступных ему в процессе исследования. «Среднестатистический» (реальный) ученый, так же как и человек вообще, теоретически будучи способен на осознание шаблонов своего поведения, реально находится в с</w:t>
      </w:r>
      <w:r>
        <w:rPr>
          <w:sz w:val="24"/>
        </w:rPr>
        <w:t>остоянии «сна наяву», «неинтегрированности»</w:t>
      </w:r>
      <w:r>
        <w:rPr>
          <w:rStyle w:val="a6"/>
          <w:sz w:val="24"/>
        </w:rPr>
        <w:footnoteReference w:id="21"/>
      </w:r>
      <w:r>
        <w:rPr>
          <w:sz w:val="24"/>
        </w:rPr>
        <w:t xml:space="preserve"> – то есть механически следует неким традициям (в науке это принимает форму «парадигмы»). Традиция не есть некое принуждение – подобно тому как никто не принуждается, скажем, к просмотру рекламных роликов, с последующими бессмысленными покупками; человек сам выбирает традиционное поведение просто из умственной лени. Как заметил П. Фейерабенд: «Открытие… часто похоже не на открытие Америки, а на пробуждение ото сна.»</w:t>
      </w:r>
      <w:r>
        <w:rPr>
          <w:rStyle w:val="a6"/>
          <w:sz w:val="24"/>
        </w:rPr>
        <w:footnoteReference w:id="22"/>
      </w:r>
      <w:r>
        <w:rPr>
          <w:sz w:val="24"/>
        </w:rPr>
        <w:t xml:space="preserve"> Информация, которой обладают создатели новой па</w:t>
      </w:r>
      <w:r>
        <w:rPr>
          <w:sz w:val="24"/>
        </w:rPr>
        <w:t xml:space="preserve">радигмы, есть и у многих других исследователей, но только у немногих хватает самоосознания для рефлексии над принимаемой дисциплинарной матрицей (ибо без этого ее, </w:t>
      </w:r>
      <w:r>
        <w:rPr>
          <w:sz w:val="24"/>
        </w:rPr>
        <w:lastRenderedPageBreak/>
        <w:t>естественно, изменить нельзя – невозможно менять что-то, что не осознаешь). «Самое сложное в выявлении убеждений [а парадигма – это система научных убеждений] состоит в том, что о тех из них, которые оказывают на вас самое сильное влияние, вы, как правило, меньше всего подозреваете.”</w:t>
      </w:r>
      <w:r>
        <w:rPr>
          <w:rStyle w:val="a6"/>
          <w:sz w:val="24"/>
          <w:lang w:val="en-US"/>
        </w:rPr>
        <w:footnoteReference w:id="23"/>
      </w:r>
    </w:p>
    <w:p w:rsidR="00000000" w:rsidRDefault="002B390A">
      <w:pPr>
        <w:spacing w:line="480" w:lineRule="auto"/>
        <w:ind w:firstLine="284"/>
        <w:jc w:val="both"/>
        <w:rPr>
          <w:sz w:val="24"/>
        </w:rPr>
      </w:pPr>
      <w:r>
        <w:rPr>
          <w:sz w:val="24"/>
        </w:rPr>
        <w:t>Таким образом, основой для смены парадигмы (или выдвижения нов</w:t>
      </w:r>
      <w:r>
        <w:rPr>
          <w:sz w:val="24"/>
        </w:rPr>
        <w:t xml:space="preserve">ой исследовательской программы) является сочетание объективных (существования иных традиций, откуда обычно и заимствуются новые идеи) и субъективных (наличие исследователей, способных к выходу на рефлексивную мета-позицию по отношению к дисциплинарной матрице) предпосылок. Однако предпосылки сами по себе никого (в том числе и «идеального ученого») к изменению парадигмы не принуждают, это только возможность для действия. </w:t>
      </w:r>
    </w:p>
    <w:p w:rsidR="00000000" w:rsidRDefault="002B390A">
      <w:pPr>
        <w:spacing w:line="480" w:lineRule="auto"/>
        <w:ind w:firstLine="284"/>
        <w:jc w:val="both"/>
        <w:rPr>
          <w:sz w:val="24"/>
        </w:rPr>
      </w:pPr>
      <w:r>
        <w:rPr>
          <w:sz w:val="24"/>
        </w:rPr>
        <w:t>Здесь мы подходим к существу проблемы несоизмеримости. Т.Кун и П.Фейерабенд отрицают су</w:t>
      </w:r>
      <w:r>
        <w:rPr>
          <w:sz w:val="24"/>
        </w:rPr>
        <w:t xml:space="preserve">ществование каких-либо рациональных критериев при смене парадигм; по их мнению, у автора новой парадигмы смена происходит мгновенно, как переключение гештальта: есть один способ описания мира до, и другой – после, причем новый способ не обязательно лучше. «Кун констатировал, что разные парадигмы А) используют </w:t>
      </w:r>
      <w:r>
        <w:rPr>
          <w:i/>
          <w:sz w:val="24"/>
        </w:rPr>
        <w:t>понятия</w:t>
      </w:r>
      <w:r>
        <w:rPr>
          <w:sz w:val="24"/>
        </w:rPr>
        <w:t xml:space="preserve">, между которыми невозможно установление обычных логических отношений – включения, исключения, пересечения, Б) заставляют нас видеть вещи по-разному (в разных парадигмах исследователи не только </w:t>
      </w:r>
      <w:r>
        <w:rPr>
          <w:sz w:val="24"/>
        </w:rPr>
        <w:t xml:space="preserve">пользуются различными понятиями, но и получают разные </w:t>
      </w:r>
      <w:r>
        <w:rPr>
          <w:i/>
          <w:sz w:val="24"/>
        </w:rPr>
        <w:t>восприятия</w:t>
      </w:r>
      <w:r>
        <w:rPr>
          <w:sz w:val="24"/>
        </w:rPr>
        <w:t xml:space="preserve">) и В) включают в себя разные </w:t>
      </w:r>
      <w:r>
        <w:rPr>
          <w:i/>
          <w:sz w:val="24"/>
        </w:rPr>
        <w:t>методы</w:t>
      </w:r>
      <w:r>
        <w:rPr>
          <w:sz w:val="24"/>
        </w:rPr>
        <w:t xml:space="preserve"> (как интеллектуальные, так и физические инструменты) для проведения исследований и оценки их результатов.»</w:t>
      </w:r>
      <w:r>
        <w:rPr>
          <w:rStyle w:val="a6"/>
          <w:sz w:val="24"/>
        </w:rPr>
        <w:footnoteReference w:id="24"/>
      </w:r>
      <w:r>
        <w:rPr>
          <w:sz w:val="24"/>
        </w:rPr>
        <w:t xml:space="preserve"> </w:t>
      </w:r>
    </w:p>
    <w:p w:rsidR="00000000" w:rsidRDefault="002B390A">
      <w:pPr>
        <w:spacing w:line="480" w:lineRule="auto"/>
        <w:ind w:firstLine="284"/>
        <w:jc w:val="both"/>
        <w:rPr>
          <w:sz w:val="24"/>
        </w:rPr>
      </w:pPr>
      <w:r>
        <w:rPr>
          <w:sz w:val="24"/>
        </w:rPr>
        <w:lastRenderedPageBreak/>
        <w:t>Мы не поддерживаем этого иррационального подхода. Главный довод против несоизмеримости, на наш взгляд, это то, что творцы новых концепций каким-то образом их все же сопоставляют; описание этого акта сопоставления и выбора как иррационального «переключения гештальта» или «смутного эстетического чувства</w:t>
      </w:r>
      <w:r>
        <w:rPr>
          <w:sz w:val="24"/>
        </w:rPr>
        <w:t>» явно неудовлетворительны. Заметим, что, подобно тому как позитивистское предложение заменить в науке «метафизику» принципом верификации оказалось несостоятельным уже потому, что сам этот принцип является метафизическим, последовательное применение принципа несоизмеримости к работам его сторонников приводит к противоречиям. Так, основным содержанием работ П.Фейерабенда является построение ряда контрпримеров, демонстрирующих ограниченность норм критического рационализма. Это, однако, требует отказа от принц</w:t>
      </w:r>
      <w:r>
        <w:rPr>
          <w:sz w:val="24"/>
        </w:rPr>
        <w:t xml:space="preserve">ипа несоизмеримости - в противном случае можно сказать, что эти контрпримеры не являются таковыми, так как текст Фейерабенда просто «несоизмерим» с текстом Поппера. </w:t>
      </w:r>
    </w:p>
    <w:p w:rsidR="00000000" w:rsidRDefault="002B390A">
      <w:pPr>
        <w:spacing w:line="480" w:lineRule="auto"/>
        <w:ind w:firstLine="284"/>
        <w:jc w:val="both"/>
        <w:rPr>
          <w:sz w:val="24"/>
        </w:rPr>
      </w:pPr>
      <w:r>
        <w:rPr>
          <w:sz w:val="24"/>
        </w:rPr>
        <w:t>Рассмотрим процесс изменения парадигмы как разновидность процесса изменения убеждения</w:t>
      </w:r>
      <w:r>
        <w:rPr>
          <w:rStyle w:val="a6"/>
          <w:sz w:val="24"/>
        </w:rPr>
        <w:footnoteReference w:id="25"/>
      </w:r>
      <w:r>
        <w:rPr>
          <w:sz w:val="24"/>
        </w:rPr>
        <w:t>. То, что Т.Кун описывает как «переключение гештальта», по нашему мнению есть действительно сдвиг восприятия, но не горизонтальный (в другую, равноценную позицию), а вертикальный: в мета-позицию по отношению к обоим парадигмальным подходам. Если пользоваться в</w:t>
      </w:r>
      <w:r>
        <w:rPr>
          <w:sz w:val="24"/>
        </w:rPr>
        <w:t xml:space="preserve">изуальной метафорой, в которой парадигма представляет карту территории (реального мира), то это сдвиг в стереоскопическую позицию, в которой наблюдаются обе карты одновременно. Понятия А)-В) из цитаты выше относятся уже к работе по правилам, задаваемым той или иной дисциплинарной матрицей, в то время как при изменении парадигмы </w:t>
      </w:r>
      <w:r>
        <w:rPr>
          <w:sz w:val="24"/>
        </w:rPr>
        <w:lastRenderedPageBreak/>
        <w:t>сравниваются сами дисциплинарные матрицы. Если парадигма является законом, по которым ведутся исследования, то мета-позиция при создании новой парадигмы – это позиция законодателя. М</w:t>
      </w:r>
      <w:r>
        <w:rPr>
          <w:sz w:val="24"/>
        </w:rPr>
        <w:t>ы согласны с П.Фейерабендом, что, вероятно, невозможно описать один абсолютный критерий выбора</w:t>
      </w:r>
      <w:r>
        <w:rPr>
          <w:rStyle w:val="a6"/>
          <w:sz w:val="24"/>
        </w:rPr>
        <w:footnoteReference w:id="26"/>
      </w:r>
      <w:r>
        <w:rPr>
          <w:sz w:val="24"/>
        </w:rPr>
        <w:t>; реально выбор осуществляется на основе комплекса критериев (сам П.Фейерабенд в работе «Наука в свободном обществе» их перечисляет: линейность-нелинейность теории, степень логической последовательности, количество апроксимаций, согласованность с некоей фундаментальной теорией или метафизическим принципом, и т.д.</w:t>
      </w:r>
      <w:r>
        <w:rPr>
          <w:rStyle w:val="a6"/>
          <w:sz w:val="24"/>
        </w:rPr>
        <w:footnoteReference w:id="27"/>
      </w:r>
      <w:r>
        <w:rPr>
          <w:sz w:val="24"/>
        </w:rPr>
        <w:t>), но это комплекс именно рациональных критериев – поэтому антисциентизм П.Фейерабенда нам представляе</w:t>
      </w:r>
      <w:r>
        <w:rPr>
          <w:sz w:val="24"/>
        </w:rPr>
        <w:t>тся необоснованным. Возможно, сам П.Фейерабенд придерживался тезиса о несоизмеримости, протестуя против нормативной оценки и сравнения теорий. Мы согласны с тем, что вводить единый (тем более – нормативный) критерий сравнения конкурирующих теорий нецелесообразно; однако из этого не следует, что всякий акт выбора концепции в науке иррационален. Нашей позиции в трактовке развития науки в контексте методологии наиболее близки позиции П.Фейерабенда (за исключением тезиса о несоизмеримости) и И.Лакатоса (за искл</w:t>
      </w:r>
      <w:r>
        <w:rPr>
          <w:sz w:val="24"/>
        </w:rPr>
        <w:t>ючением исторического критерия сравнения между собой различных теорий – потому, что он годится в полной мере только для программ, прекративших свое существование, или, по меньшей мере, длительно существующих; в то же время наиболее важной практически является процедура сравнения для новых гипотез, у которых просто нет истории. Заметим, что и разделение на «жесткое ядро» и «защитный пояс» также основано на историко-научном анализе пост-фактум: в первоначальной формулировке указать точные границы «жесткого яд</w:t>
      </w:r>
      <w:r>
        <w:rPr>
          <w:sz w:val="24"/>
        </w:rPr>
        <w:t xml:space="preserve">ра» </w:t>
      </w:r>
      <w:r>
        <w:rPr>
          <w:sz w:val="24"/>
        </w:rPr>
        <w:lastRenderedPageBreak/>
        <w:t xml:space="preserve">нереально, они определяются в процессе научно-исторического развития программы во взаимодействии с конкурирующими идеями). В такой трактовке оба этих подхода становятся идентичными, сводясь по существу к тезису </w:t>
      </w:r>
      <w:r>
        <w:rPr>
          <w:sz w:val="24"/>
          <w:lang w:val="en-US"/>
        </w:rPr>
        <w:t>anything</w:t>
      </w:r>
      <w:r>
        <w:rPr>
          <w:sz w:val="24"/>
        </w:rPr>
        <w:t xml:space="preserve"> </w:t>
      </w:r>
      <w:r>
        <w:rPr>
          <w:sz w:val="24"/>
          <w:lang w:val="en-US"/>
        </w:rPr>
        <w:t>goes</w:t>
      </w:r>
      <w:r>
        <w:rPr>
          <w:sz w:val="24"/>
        </w:rPr>
        <w:t xml:space="preserve">: «Индуктивизм требует </w:t>
      </w:r>
      <w:r>
        <w:rPr>
          <w:i/>
          <w:sz w:val="24"/>
        </w:rPr>
        <w:t>устранения</w:t>
      </w:r>
      <w:r>
        <w:rPr>
          <w:sz w:val="24"/>
        </w:rPr>
        <w:t xml:space="preserve"> теорий, лишенных эмпирической поддержки. Фальсификационизм требует </w:t>
      </w:r>
      <w:r>
        <w:rPr>
          <w:i/>
          <w:sz w:val="24"/>
        </w:rPr>
        <w:t>устранения</w:t>
      </w:r>
      <w:r>
        <w:rPr>
          <w:sz w:val="24"/>
        </w:rPr>
        <w:t xml:space="preserve"> теорий, не обладающих дополнительным эмпирическим содержанием… Методология исследовательских программ </w:t>
      </w:r>
      <w:r>
        <w:rPr>
          <w:i/>
          <w:sz w:val="24"/>
        </w:rPr>
        <w:t>не содержит</w:t>
      </w:r>
      <w:r>
        <w:rPr>
          <w:sz w:val="24"/>
        </w:rPr>
        <w:t xml:space="preserve"> таких требований…»</w:t>
      </w:r>
      <w:r>
        <w:rPr>
          <w:rStyle w:val="a6"/>
          <w:sz w:val="24"/>
        </w:rPr>
        <w:footnoteReference w:id="28"/>
      </w:r>
      <w:r>
        <w:rPr>
          <w:sz w:val="24"/>
        </w:rPr>
        <w:t xml:space="preserve"> Тем не менее, отказывая рациональным к</w:t>
      </w:r>
      <w:r>
        <w:rPr>
          <w:sz w:val="24"/>
        </w:rPr>
        <w:t>ритериям сравнения научных теорий в статусе жестко-нормативных, мы считаем, что формулировка «мягких» критериев имеет смысл. Так или иначе, сознательно или бессознательно, исследователи сравнивают различные теории между собой; формулировка критериев в явном виде призвана не элиминировать какую-либо концепцию, а способствовать дифференциации рациональных и эмоциональных компонентов в научной дискуссии (в идеале – к полной элиминации иррациональных, основанных на эмоциях пристрастиях: если не вообще из науки,</w:t>
      </w:r>
      <w:r>
        <w:rPr>
          <w:sz w:val="24"/>
        </w:rPr>
        <w:t xml:space="preserve"> то, по меньшей мере – из научных дискуссий). </w:t>
      </w:r>
    </w:p>
    <w:p w:rsidR="00000000" w:rsidRDefault="002B390A">
      <w:pPr>
        <w:spacing w:line="480" w:lineRule="auto"/>
        <w:ind w:firstLine="284"/>
        <w:jc w:val="both"/>
        <w:rPr>
          <w:sz w:val="24"/>
        </w:rPr>
      </w:pPr>
      <w:r>
        <w:rPr>
          <w:sz w:val="24"/>
        </w:rPr>
        <w:t>Данный вопрос о критериях сопоставления и выбора конкурирующих теорий был подробно разработан в отечественной методологической литературе. Так, Е.А.Мамчур на основе исследования истории физики показала, что одним из основых методологических регулятивов в познании выступает принцип простоты (в той или иной его форме: явно или неявно).</w:t>
      </w:r>
      <w:r>
        <w:rPr>
          <w:rStyle w:val="a6"/>
          <w:sz w:val="24"/>
        </w:rPr>
        <w:t xml:space="preserve"> </w:t>
      </w:r>
      <w:r>
        <w:rPr>
          <w:sz w:val="24"/>
        </w:rPr>
        <w:t>В то же время как критерий, однозначно определяющий отбор теорий, он рассматриваться не может: «Не привели к успеху и попытки раз</w:t>
      </w:r>
      <w:r>
        <w:rPr>
          <w:sz w:val="24"/>
        </w:rPr>
        <w:t xml:space="preserve">работать точные экспликации (исчисления) простоты, способные сыграть роль некоторого идеального канона… оказываясь справедливыми для языков </w:t>
      </w:r>
      <w:r>
        <w:rPr>
          <w:sz w:val="24"/>
        </w:rPr>
        <w:lastRenderedPageBreak/>
        <w:t>типа исчисления предикатов, предложенные критерии теряют свою эффективность для содержательных и богатых языков научных теорий. Возникает сомнение в том, что вообще существует единая мера простоты или единое основание для успешного функционирования критерия простоты. Возможно, существует много различных типов простоты, и каждый из них вносит свой вклад в окончательную о</w:t>
      </w:r>
      <w:r>
        <w:rPr>
          <w:sz w:val="24"/>
        </w:rPr>
        <w:t>ценку гипотезы или теории.»</w:t>
      </w:r>
      <w:r>
        <w:rPr>
          <w:rStyle w:val="a6"/>
          <w:sz w:val="24"/>
        </w:rPr>
        <w:footnoteReference w:id="29"/>
      </w:r>
      <w:r>
        <w:rPr>
          <w:sz w:val="24"/>
        </w:rPr>
        <w:t xml:space="preserve"> </w:t>
      </w:r>
    </w:p>
    <w:p w:rsidR="00000000" w:rsidRDefault="002B390A">
      <w:pPr>
        <w:spacing w:line="480" w:lineRule="auto"/>
        <w:ind w:firstLine="284"/>
        <w:jc w:val="both"/>
        <w:rPr>
          <w:sz w:val="24"/>
        </w:rPr>
      </w:pPr>
      <w:r>
        <w:rPr>
          <w:sz w:val="24"/>
        </w:rPr>
        <w:t>Обсудим теперь еще один аспект вопроса о источниках концепции несоизмеримости: по нашему мнению, представления Т.Куна о скачкообразной смене парадигм по принципу «или-или» идейно восходит (хотя явно это им нигде и не подчеркивалось) ко взглядам К.Поппера на диалектику и противопоставляемый им диалектике метод проб и ошибок.</w:t>
      </w:r>
      <w:r>
        <w:rPr>
          <w:rStyle w:val="a6"/>
          <w:sz w:val="24"/>
        </w:rPr>
        <w:footnoteReference w:id="30"/>
      </w:r>
      <w:r>
        <w:rPr>
          <w:sz w:val="24"/>
        </w:rPr>
        <w:t xml:space="preserve"> Критика К.Поппером диалектики ведется с позиций защиты закона исключения противоречий: если мы имеем тезис и антитезис, то один из них должен быть отброшен</w:t>
      </w:r>
      <w:r>
        <w:rPr>
          <w:sz w:val="24"/>
        </w:rPr>
        <w:t xml:space="preserve"> (в соответствии с запретом, вытекающим из закона противоречия), то есть диалектическую триаду К.Поппер сводит к ослабленному варианту метода проб и ошибок.</w:t>
      </w:r>
      <w:r>
        <w:rPr>
          <w:rStyle w:val="a6"/>
          <w:sz w:val="24"/>
        </w:rPr>
        <w:footnoteReference w:id="31"/>
      </w:r>
      <w:r>
        <w:rPr>
          <w:sz w:val="24"/>
        </w:rPr>
        <w:t xml:space="preserve"> </w:t>
      </w:r>
    </w:p>
    <w:p w:rsidR="00000000" w:rsidRDefault="002B390A">
      <w:pPr>
        <w:spacing w:line="480" w:lineRule="auto"/>
        <w:ind w:firstLine="284"/>
        <w:jc w:val="both"/>
        <w:rPr>
          <w:sz w:val="24"/>
        </w:rPr>
      </w:pPr>
      <w:r>
        <w:rPr>
          <w:sz w:val="24"/>
        </w:rPr>
        <w:t>На наш взгляд, эта критика диалектики является несколько поверхностной, и сама содержит смешение разных логических уровней рассуждения: К.Поппер прилагает принципы диалектики к процессу логического вывода,</w:t>
      </w:r>
      <w:r>
        <w:rPr>
          <w:rStyle w:val="a6"/>
          <w:sz w:val="24"/>
        </w:rPr>
        <w:footnoteReference w:id="32"/>
      </w:r>
      <w:r>
        <w:rPr>
          <w:sz w:val="24"/>
        </w:rPr>
        <w:t xml:space="preserve"> то есть к тому, для чего они не предназначаются. Диалектическое противоречие не есть противоречие логическое. Логическое противоречие обнаруживает</w:t>
      </w:r>
      <w:r>
        <w:rPr>
          <w:sz w:val="24"/>
        </w:rPr>
        <w:t xml:space="preserve">ся </w:t>
      </w:r>
      <w:r>
        <w:rPr>
          <w:i/>
          <w:sz w:val="24"/>
        </w:rPr>
        <w:t>внутри одной системы</w:t>
      </w:r>
      <w:r>
        <w:rPr>
          <w:sz w:val="24"/>
        </w:rPr>
        <w:t xml:space="preserve"> описания действительности; диалектическое противоречие есть конфликт разных систем как следствие </w:t>
      </w:r>
      <w:r>
        <w:rPr>
          <w:i/>
          <w:sz w:val="24"/>
        </w:rPr>
        <w:t>неправомерных генерализаций</w:t>
      </w:r>
      <w:r>
        <w:rPr>
          <w:sz w:val="24"/>
        </w:rPr>
        <w:t xml:space="preserve">, то есть </w:t>
      </w:r>
      <w:r>
        <w:rPr>
          <w:sz w:val="24"/>
        </w:rPr>
        <w:lastRenderedPageBreak/>
        <w:t xml:space="preserve">ошибок при задании </w:t>
      </w:r>
      <w:r>
        <w:rPr>
          <w:i/>
          <w:sz w:val="24"/>
        </w:rPr>
        <w:t>граничных условий</w:t>
      </w:r>
      <w:r>
        <w:rPr>
          <w:sz w:val="24"/>
        </w:rPr>
        <w:t xml:space="preserve"> каждой из конфликтующих систем. Предположим, мы имеем различные утверждения о форме проекции пирамиды на плоскость: 1) проекция пирамиды на плоскость есть треугольник; 2) проекция пирамиды на плоскость есть квадрат; 3) проекция пирамиды на плоскость есть круг. Утверждение 3) должно быть, действительно, отвергнуто в </w:t>
      </w:r>
      <w:r>
        <w:rPr>
          <w:sz w:val="24"/>
        </w:rPr>
        <w:t>соответствии с методом «проб и ошибок» К.Поппера, однако утверждения 1) и 2), будучи формально-логически противоречивы, тем не менее, оба истинны. Их конфликт проистекает от отсутствия граничных условий, в рамках которых они оказываются истинными: утверждение 1) истинно, если проекционная плоскость вертикальна, в то время как утверждение 2) истинно, если проекционная плоскость горизонтальна. Критикуемая К.Поппером категория диалектического синтеза есть ни что иное, как задание граничных условий, при которых</w:t>
      </w:r>
      <w:r>
        <w:rPr>
          <w:sz w:val="24"/>
        </w:rPr>
        <w:t xml:space="preserve"> тезис и антитезис истинны, или, иными словами, это есть мета-уровень по отношению к формальной логике как таковой – уровень, на котором происходит создание интегральной концепции (в нашем примере – переход к объемному восприятию фигуры от частных двумерных проекций, без чего невозможно определение граничных условий для утверждений 1) и 2)). С другой стороны, мы полностью согласны с К.Поппером в его критике «диалектического» описания процессов природы:</w:t>
      </w:r>
      <w:r>
        <w:rPr>
          <w:rStyle w:val="a6"/>
          <w:sz w:val="24"/>
        </w:rPr>
        <w:footnoteReference w:id="33"/>
      </w:r>
      <w:r>
        <w:rPr>
          <w:sz w:val="24"/>
        </w:rPr>
        <w:t xml:space="preserve"> факты или события не могут противоречить друг другу, и</w:t>
      </w:r>
      <w:r>
        <w:rPr>
          <w:sz w:val="24"/>
        </w:rPr>
        <w:t xml:space="preserve">бо природа едина по своей сути – противоречивым может быть их </w:t>
      </w:r>
      <w:r>
        <w:rPr>
          <w:i/>
          <w:sz w:val="24"/>
        </w:rPr>
        <w:t xml:space="preserve">восприятие </w:t>
      </w:r>
      <w:r>
        <w:rPr>
          <w:sz w:val="24"/>
        </w:rPr>
        <w:t xml:space="preserve">разными исследователями. Диалектическая триада не является удачным способом описания природных процессов, это есть описание процесса познания. В этой связи интересно отметить, что к такому же выводу независимо приводят исследования по моделированию человеческого поведения: так, получившее признание схема НЛП есть переход от модели психотерапии по Бейтсону (одно из сообщений в </w:t>
      </w:r>
      <w:r>
        <w:rPr>
          <w:sz w:val="24"/>
        </w:rPr>
        <w:lastRenderedPageBreak/>
        <w:t>коммуникации считается истинным, остальные - ложными</w:t>
      </w:r>
      <w:r>
        <w:rPr>
          <w:rStyle w:val="a6"/>
          <w:sz w:val="24"/>
        </w:rPr>
        <w:footnoteReference w:id="34"/>
      </w:r>
      <w:r>
        <w:rPr>
          <w:sz w:val="24"/>
        </w:rPr>
        <w:t>) к мод</w:t>
      </w:r>
      <w:r>
        <w:rPr>
          <w:sz w:val="24"/>
        </w:rPr>
        <w:t>ели Гриндера-Бэндлера,</w:t>
      </w:r>
      <w:r>
        <w:rPr>
          <w:rStyle w:val="a6"/>
          <w:sz w:val="24"/>
          <w:lang w:val="en-US"/>
        </w:rPr>
        <w:footnoteReference w:id="35"/>
      </w:r>
      <w:r>
        <w:rPr>
          <w:sz w:val="24"/>
        </w:rPr>
        <w:t xml:space="preserve"> в которой все сообщения рассматриваются как истинные (в соответствующем контексте, т.е. – при соответствующих граничных условиях). Процесс психического развития в схеме НЛП трактуется как разграничение соответствующих контекстов, в рамках которых конфликтное поведение является рациональным, и создание новой обобщающей мета-модели, снимающей противоречия (процесс “психической интеграции”) – легко заметить, что это описание фактически идентично описанию процесса снятия противоречия меж</w:t>
      </w:r>
      <w:r>
        <w:rPr>
          <w:sz w:val="24"/>
        </w:rPr>
        <w:t>ду тезисом и антитезисом посредством синтеза по Гегелю</w:t>
      </w:r>
      <w:r>
        <w:rPr>
          <w:rStyle w:val="a6"/>
          <w:sz w:val="24"/>
          <w:lang w:val="en-US"/>
        </w:rPr>
        <w:footnoteReference w:id="36"/>
      </w:r>
      <w:r>
        <w:rPr>
          <w:sz w:val="24"/>
        </w:rPr>
        <w:t xml:space="preserve">. </w:t>
      </w:r>
    </w:p>
    <w:p w:rsidR="00000000" w:rsidRDefault="002B390A">
      <w:pPr>
        <w:spacing w:line="480" w:lineRule="auto"/>
        <w:ind w:firstLine="284"/>
        <w:jc w:val="both"/>
        <w:rPr>
          <w:sz w:val="24"/>
        </w:rPr>
      </w:pPr>
      <w:r>
        <w:rPr>
          <w:sz w:val="24"/>
        </w:rPr>
        <w:t>Соответственно, рассмотрение научной революции на различных мета-уровнях (т.е. диалектически, или, в терминологии К.Юнга</w:t>
      </w:r>
      <w:r>
        <w:rPr>
          <w:rStyle w:val="a6"/>
          <w:sz w:val="24"/>
        </w:rPr>
        <w:footnoteReference w:id="37"/>
      </w:r>
      <w:r>
        <w:rPr>
          <w:sz w:val="24"/>
        </w:rPr>
        <w:t xml:space="preserve"> - синтетически) позволяет перейти от трактовки смены парадигм по принципу «или – или» к более богатому принципу «и/или». Мы трактуем поэтому процесс смены научных парадигм не как замену одного фильтра восприятия другим (в духе несоизмеримости), а как расширение поля осознания, т.е. ослабление парадигмальных ограничений через расши</w:t>
      </w:r>
      <w:r>
        <w:rPr>
          <w:sz w:val="24"/>
        </w:rPr>
        <w:t>рение способов описания реальности, которыми владеет исследователь.</w:t>
      </w:r>
    </w:p>
    <w:p w:rsidR="00000000" w:rsidRDefault="002B390A">
      <w:pPr>
        <w:spacing w:line="480" w:lineRule="auto"/>
        <w:jc w:val="right"/>
        <w:rPr>
          <w:sz w:val="26"/>
        </w:rPr>
      </w:pPr>
      <w:r>
        <w:rPr>
          <w:sz w:val="24"/>
        </w:rPr>
        <w:br w:type="page"/>
      </w:r>
      <w:r>
        <w:rPr>
          <w:sz w:val="26"/>
        </w:rPr>
        <w:lastRenderedPageBreak/>
        <w:t>резюме</w:t>
      </w:r>
    </w:p>
    <w:p w:rsidR="00000000" w:rsidRDefault="002B390A">
      <w:pPr>
        <w:pStyle w:val="BodyText3"/>
        <w:rPr>
          <w:b/>
          <w:sz w:val="24"/>
        </w:rPr>
      </w:pPr>
      <w:r>
        <w:rPr>
          <w:b/>
          <w:sz w:val="24"/>
        </w:rPr>
        <w:t>Если парадигмы несоизмеримы, то почему они все-таки меняются?</w:t>
      </w:r>
    </w:p>
    <w:p w:rsidR="00000000" w:rsidRDefault="002B390A">
      <w:pPr>
        <w:pStyle w:val="Bodytext"/>
        <w:spacing w:line="480" w:lineRule="auto"/>
        <w:jc w:val="center"/>
        <w:rPr>
          <w:sz w:val="24"/>
        </w:rPr>
      </w:pPr>
      <w:r>
        <w:rPr>
          <w:sz w:val="24"/>
        </w:rPr>
        <w:t>Д.Г.Егоров</w:t>
      </w:r>
    </w:p>
    <w:p w:rsidR="00000000" w:rsidRDefault="002B390A">
      <w:pPr>
        <w:spacing w:line="480" w:lineRule="auto"/>
        <w:jc w:val="both"/>
        <w:rPr>
          <w:sz w:val="24"/>
        </w:rPr>
      </w:pPr>
      <w:r>
        <w:rPr>
          <w:sz w:val="24"/>
        </w:rPr>
        <w:t>Предложена трактовка процесса смены парадигм: не как замены одного фильтра восприятия другим (в духе несоизмеримости по Т.Куну и П.Фейерабенду), а как расширения поля осознания (т.е. ослабления парадигмальных ограничений через расширение способов описания реальности).</w:t>
      </w:r>
    </w:p>
    <w:p w:rsidR="00000000" w:rsidRDefault="002B390A">
      <w:pPr>
        <w:pStyle w:val="a3"/>
        <w:spacing w:line="480" w:lineRule="auto"/>
      </w:pPr>
    </w:p>
    <w:p w:rsidR="00000000" w:rsidRDefault="002B390A">
      <w:pPr>
        <w:jc w:val="center"/>
        <w:rPr>
          <w:b/>
          <w:caps/>
          <w:sz w:val="24"/>
          <w:lang w:val="en-US"/>
        </w:rPr>
      </w:pPr>
      <w:r>
        <w:rPr>
          <w:b/>
          <w:sz w:val="24"/>
          <w:lang w:val="en-US"/>
        </w:rPr>
        <w:t xml:space="preserve">IF PARADIGMS ARE INCOMMENSURABLE, WHY DO THEY </w:t>
      </w:r>
      <w:r>
        <w:rPr>
          <w:b/>
          <w:caps/>
          <w:sz w:val="24"/>
          <w:lang w:val="en-US"/>
        </w:rPr>
        <w:t>shift after all ?</w:t>
      </w:r>
    </w:p>
    <w:p w:rsidR="00000000" w:rsidRDefault="002B390A">
      <w:pPr>
        <w:pStyle w:val="1"/>
      </w:pPr>
      <w:r>
        <w:t>D.G.Yegorov</w:t>
      </w:r>
    </w:p>
    <w:p w:rsidR="00000000" w:rsidRDefault="002B390A">
      <w:pPr>
        <w:rPr>
          <w:caps/>
          <w:sz w:val="24"/>
          <w:lang w:val="en-US"/>
        </w:rPr>
      </w:pPr>
    </w:p>
    <w:p w:rsidR="002B390A" w:rsidRDefault="002B390A">
      <w:pPr>
        <w:pStyle w:val="Bodytext"/>
        <w:spacing w:line="480" w:lineRule="auto"/>
        <w:ind w:firstLine="0"/>
        <w:rPr>
          <w:sz w:val="24"/>
          <w:lang w:val="en-US"/>
        </w:rPr>
      </w:pPr>
      <w:r>
        <w:rPr>
          <w:sz w:val="24"/>
          <w:lang w:val="en-US"/>
        </w:rPr>
        <w:t>The process of s</w:t>
      </w:r>
      <w:r>
        <w:rPr>
          <w:sz w:val="24"/>
          <w:lang w:val="en-US"/>
        </w:rPr>
        <w:t>hift of paradigms is interpreted not as replacement of one perception filter with another one (in the spirit of incommensurability according to T.Kuhn and P.Feuerabend), but as the perception field enlargement (that is, the weakening of paradigm restrictions through the larger number of ways of reality description).</w:t>
      </w:r>
    </w:p>
    <w:sectPr w:rsidR="002B390A">
      <w:footerReference w:type="default" r:id="rId7"/>
      <w:endnotePr>
        <w:numFmt w:val="decimal"/>
      </w:endnotePr>
      <w:pgSz w:w="12240" w:h="15840"/>
      <w:pgMar w:top="1418" w:right="851" w:bottom="1418" w:left="1418"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390A" w:rsidRDefault="002B390A">
      <w:r>
        <w:separator/>
      </w:r>
    </w:p>
  </w:endnote>
  <w:endnote w:type="continuationSeparator" w:id="1">
    <w:p w:rsidR="002B390A" w:rsidRDefault="002B390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2B390A">
    <w:pPr>
      <w:pStyle w:val="a4"/>
      <w:framePr w:wrap="auto" w:vAnchor="text" w:hAnchor="margin" w:xAlign="right" w:y="1"/>
      <w:rPr>
        <w:rStyle w:val="iiianoaieou"/>
      </w:rPr>
    </w:pPr>
    <w:r>
      <w:rPr>
        <w:rStyle w:val="iiianoaieou"/>
      </w:rPr>
      <w:fldChar w:fldCharType="begin"/>
    </w:r>
    <w:r>
      <w:rPr>
        <w:rStyle w:val="iiianoaieou"/>
      </w:rPr>
      <w:instrText xml:space="preserve">PAGE  </w:instrText>
    </w:r>
    <w:r>
      <w:rPr>
        <w:rStyle w:val="iiianoaieou"/>
      </w:rPr>
      <w:fldChar w:fldCharType="separate"/>
    </w:r>
    <w:r w:rsidR="004B71BA">
      <w:rPr>
        <w:rStyle w:val="iiianoaieou"/>
        <w:noProof/>
      </w:rPr>
      <w:t>3</w:t>
    </w:r>
    <w:r>
      <w:rPr>
        <w:rStyle w:val="iiianoaieou"/>
      </w:rPr>
      <w:fldChar w:fldCharType="end"/>
    </w:r>
  </w:p>
  <w:p w:rsidR="00000000" w:rsidRDefault="002B390A">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390A" w:rsidRDefault="002B390A">
      <w:r>
        <w:separator/>
      </w:r>
    </w:p>
  </w:footnote>
  <w:footnote w:type="continuationSeparator" w:id="1">
    <w:p w:rsidR="002B390A" w:rsidRDefault="002B390A">
      <w:r>
        <w:continuationSeparator/>
      </w:r>
    </w:p>
  </w:footnote>
  <w:footnote w:id="2">
    <w:p w:rsidR="00000000" w:rsidRDefault="002B390A">
      <w:pPr>
        <w:pStyle w:val="a5"/>
        <w:jc w:val="both"/>
      </w:pPr>
      <w:r>
        <w:rPr>
          <w:rStyle w:val="a6"/>
        </w:rPr>
        <w:footnoteRef/>
      </w:r>
      <w:r>
        <w:t xml:space="preserve"> Мы используем принадлежащий Платону и введенный в обиход современной философии науки Т.Куном термин «парадигма» для обозначения совокупности </w:t>
      </w:r>
      <w:r>
        <w:rPr>
          <w:i/>
        </w:rPr>
        <w:t>систем убеждений</w:t>
      </w:r>
      <w:r>
        <w:t>, разделяемых значительным числом ч</w:t>
      </w:r>
      <w:r>
        <w:t>ленов научных сообществ и лежащих в основе формирования ими конкретных научных теорий. Отметим, что в этом определении ничего не говорится об истинности этих убеждений, их предметной области, а также о соответствии их реальной практике научной работы.</w:t>
      </w:r>
    </w:p>
  </w:footnote>
  <w:footnote w:id="3">
    <w:p w:rsidR="00000000" w:rsidRDefault="002B390A">
      <w:pPr>
        <w:pStyle w:val="a5"/>
        <w:jc w:val="both"/>
      </w:pPr>
      <w:r>
        <w:rPr>
          <w:rStyle w:val="a6"/>
        </w:rPr>
        <w:footnoteRef/>
      </w:r>
      <w:r>
        <w:t xml:space="preserve"> В отличие от </w:t>
      </w:r>
      <w:r>
        <w:rPr>
          <w:color w:val="000000"/>
        </w:rPr>
        <w:t>«догматического фальсификационизма», несостоятельность которого показана, например, И.Лакатосом</w:t>
      </w:r>
      <w:r>
        <w:t>: «…</w:t>
      </w:r>
      <w:r>
        <w:rPr>
          <w:color w:val="000000"/>
        </w:rPr>
        <w:t xml:space="preserve">нет и не может быть ощущений, не нагруженных ожиданиями, и следовательно, </w:t>
      </w:r>
      <w:r>
        <w:rPr>
          <w:i/>
          <w:color w:val="000000"/>
        </w:rPr>
        <w:t>нет никакой естественной (то есть психологической) демаркации между пред</w:t>
      </w:r>
      <w:r>
        <w:rPr>
          <w:i/>
          <w:color w:val="000000"/>
        </w:rPr>
        <w:t>ложениями наблюдения и теоретическими предложениями …</w:t>
      </w:r>
      <w:r>
        <w:rPr>
          <w:color w:val="000000"/>
        </w:rPr>
        <w:t xml:space="preserve"> даже если бы такая естественная демаркация существовала, </w:t>
      </w:r>
      <w:r>
        <w:rPr>
          <w:i/>
          <w:color w:val="000000"/>
        </w:rPr>
        <w:t xml:space="preserve">вторая посылка [теория "научна", если у нее есть эмпирический базис] </w:t>
      </w:r>
      <w:r>
        <w:rPr>
          <w:color w:val="000000"/>
        </w:rPr>
        <w:t xml:space="preserve">догматического фальсификационизма была бы ниспровергнута логикой. Дело в том, что значения истинности предложений "наблюдения" не могут быть однозначно определены: </w:t>
      </w:r>
      <w:r>
        <w:rPr>
          <w:i/>
          <w:color w:val="000000"/>
        </w:rPr>
        <w:t>никакое фактуальное предложение не может быть доказательно обосновано экспериментом.</w:t>
      </w:r>
      <w:r>
        <w:rPr>
          <w:color w:val="000000"/>
        </w:rPr>
        <w:t xml:space="preserve"> Можно только выводить одни предложения из других, но нельзя их вывести из фактов; п</w:t>
      </w:r>
      <w:r>
        <w:rPr>
          <w:color w:val="000000"/>
        </w:rPr>
        <w:t xml:space="preserve">опытаться доказывать предложения, ссылаясь на показания чувств, все равно, что доказывать свою правоту, "стуча кулаком по столу". Это элементарная логическая истина, но даже сегодня она усвоена совсем немногими. Если фактуальные предложения недоказуемы, то они могут быть ошибочными. Но если они могут быть ошибочными, то конфликт между теориями и фактуальными предложениями не обязательно означает "фальсификацию", это может быть просто несогласованность.» - </w:t>
      </w:r>
      <w:r>
        <w:t>И. Лакатос.</w:t>
      </w:r>
      <w:r>
        <w:rPr>
          <w:color w:val="000000"/>
        </w:rPr>
        <w:t xml:space="preserve"> </w:t>
      </w:r>
      <w:r>
        <w:t>Фальсификация и методология научно-иссле</w:t>
      </w:r>
      <w:r>
        <w:t xml:space="preserve">довательских программ. </w:t>
      </w:r>
      <w:r>
        <w:rPr>
          <w:color w:val="0000FF"/>
          <w:u w:val="single"/>
        </w:rPr>
        <w:t>www.philosophy.ru/library/lacat/01/0.html</w:t>
      </w:r>
    </w:p>
  </w:footnote>
  <w:footnote w:id="4">
    <w:p w:rsidR="00000000" w:rsidRDefault="002B390A">
      <w:pPr>
        <w:pStyle w:val="a5"/>
      </w:pPr>
      <w:r>
        <w:rPr>
          <w:rStyle w:val="a6"/>
        </w:rPr>
        <w:footnoteRef/>
      </w:r>
      <w:r>
        <w:t xml:space="preserve"> Поппер К. Логика и рост научного знания. М., 1983. С. </w:t>
      </w:r>
      <w:r>
        <w:rPr>
          <w:color w:val="000000"/>
        </w:rPr>
        <w:t>247.</w:t>
      </w:r>
    </w:p>
  </w:footnote>
  <w:footnote w:id="5">
    <w:p w:rsidR="00000000" w:rsidRDefault="002B390A">
      <w:pPr>
        <w:pStyle w:val="a5"/>
        <w:jc w:val="both"/>
      </w:pPr>
      <w:r>
        <w:rPr>
          <w:rStyle w:val="a6"/>
        </w:rPr>
        <w:footnoteRef/>
      </w:r>
      <w:r>
        <w:t xml:space="preserve"> Фейерабенд П. Избранные труды по методологии науки. М., 1986. С. 117.</w:t>
      </w:r>
    </w:p>
  </w:footnote>
  <w:footnote w:id="6">
    <w:p w:rsidR="00000000" w:rsidRDefault="002B390A">
      <w:pPr>
        <w:pStyle w:val="a5"/>
        <w:jc w:val="both"/>
      </w:pPr>
      <w:r>
        <w:rPr>
          <w:rStyle w:val="a6"/>
        </w:rPr>
        <w:footnoteRef/>
      </w:r>
      <w:r>
        <w:t xml:space="preserve"> Там же. С. 473.</w:t>
      </w:r>
    </w:p>
  </w:footnote>
  <w:footnote w:id="7">
    <w:p w:rsidR="00000000" w:rsidRDefault="002B390A">
      <w:pPr>
        <w:pStyle w:val="a5"/>
        <w:jc w:val="both"/>
      </w:pPr>
      <w:r>
        <w:rPr>
          <w:rStyle w:val="a6"/>
        </w:rPr>
        <w:footnoteRef/>
      </w:r>
      <w:r>
        <w:t xml:space="preserve"> Там же. С. 325.</w:t>
      </w:r>
    </w:p>
  </w:footnote>
  <w:footnote w:id="8">
    <w:p w:rsidR="00000000" w:rsidRDefault="002B390A">
      <w:pPr>
        <w:pStyle w:val="a5"/>
        <w:jc w:val="both"/>
      </w:pPr>
      <w:r>
        <w:rPr>
          <w:rStyle w:val="a6"/>
        </w:rPr>
        <w:footnoteRef/>
      </w:r>
      <w:r>
        <w:t xml:space="preserve"> Лакатос И. История науки и ее рациональные реконструкции // Структура и развитие науки. М., 1978. С. 218.</w:t>
      </w:r>
    </w:p>
  </w:footnote>
  <w:footnote w:id="9">
    <w:p w:rsidR="00000000" w:rsidRDefault="002B390A">
      <w:pPr>
        <w:pStyle w:val="a5"/>
        <w:jc w:val="both"/>
      </w:pPr>
      <w:r>
        <w:rPr>
          <w:rStyle w:val="a6"/>
        </w:rPr>
        <w:footnoteRef/>
      </w:r>
      <w:r>
        <w:t xml:space="preserve"> Там же. С. 219-220.</w:t>
      </w:r>
    </w:p>
  </w:footnote>
  <w:footnote w:id="10">
    <w:p w:rsidR="00000000" w:rsidRDefault="002B390A">
      <w:pPr>
        <w:pStyle w:val="a5"/>
        <w:jc w:val="both"/>
      </w:pPr>
      <w:r>
        <w:rPr>
          <w:rStyle w:val="a6"/>
        </w:rPr>
        <w:footnoteRef/>
      </w:r>
      <w:r>
        <w:t xml:space="preserve"> Фейерабенд П. Избранные труды по методологии науки. С. 145.</w:t>
      </w:r>
    </w:p>
  </w:footnote>
  <w:footnote w:id="11">
    <w:p w:rsidR="00000000" w:rsidRDefault="002B390A">
      <w:pPr>
        <w:pStyle w:val="a5"/>
        <w:jc w:val="both"/>
      </w:pPr>
      <w:r>
        <w:rPr>
          <w:rStyle w:val="a6"/>
        </w:rPr>
        <w:footnoteRef/>
      </w:r>
      <w:r>
        <w:t xml:space="preserve"> Там же. С. 153.</w:t>
      </w:r>
    </w:p>
  </w:footnote>
  <w:footnote w:id="12">
    <w:p w:rsidR="00000000" w:rsidRDefault="002B390A">
      <w:pPr>
        <w:pStyle w:val="a5"/>
        <w:jc w:val="both"/>
      </w:pPr>
      <w:r>
        <w:rPr>
          <w:rStyle w:val="a6"/>
        </w:rPr>
        <w:footnoteRef/>
      </w:r>
      <w:r>
        <w:t xml:space="preserve"> Сорос Дж. Алхимия финансов. М., 1997. С. 35.</w:t>
      </w:r>
    </w:p>
  </w:footnote>
  <w:footnote w:id="13">
    <w:p w:rsidR="00000000" w:rsidRDefault="002B390A">
      <w:pPr>
        <w:pStyle w:val="a5"/>
        <w:jc w:val="both"/>
      </w:pPr>
      <w:r>
        <w:rPr>
          <w:rStyle w:val="a6"/>
        </w:rPr>
        <w:footnoteRef/>
      </w:r>
      <w:r>
        <w:t xml:space="preserve"> Степин В.С., Горохо</w:t>
      </w:r>
      <w:r>
        <w:t>в В.Г., Розов М.А. Философия науки и техники. М., 1995. С. 73.</w:t>
      </w:r>
    </w:p>
  </w:footnote>
  <w:footnote w:id="14">
    <w:p w:rsidR="00000000" w:rsidRDefault="002B390A">
      <w:pPr>
        <w:pStyle w:val="a5"/>
        <w:jc w:val="both"/>
      </w:pPr>
      <w:r>
        <w:rPr>
          <w:rStyle w:val="a6"/>
        </w:rPr>
        <w:footnoteRef/>
      </w:r>
      <w:r>
        <w:t xml:space="preserve"> Бэндлер Р., Гриндер Д. Структура магии. СПб., 1996. </w:t>
      </w:r>
      <w:r>
        <w:rPr>
          <w:lang w:val="en-US"/>
        </w:rPr>
        <w:t>C</w:t>
      </w:r>
      <w:r>
        <w:t>. 312-315.</w:t>
      </w:r>
    </w:p>
  </w:footnote>
  <w:footnote w:id="15">
    <w:p w:rsidR="00000000" w:rsidRDefault="002B390A">
      <w:pPr>
        <w:pStyle w:val="a5"/>
        <w:jc w:val="both"/>
      </w:pPr>
      <w:r>
        <w:rPr>
          <w:rStyle w:val="a6"/>
        </w:rPr>
        <w:footnoteRef/>
      </w:r>
      <w:r>
        <w:t xml:space="preserve"> Кун Т. Структура научных революций. М., 1977. С. 240-245.</w:t>
      </w:r>
    </w:p>
  </w:footnote>
  <w:footnote w:id="16">
    <w:p w:rsidR="00000000" w:rsidRDefault="002B390A">
      <w:pPr>
        <w:pStyle w:val="a5"/>
        <w:jc w:val="both"/>
      </w:pPr>
      <w:r>
        <w:rPr>
          <w:rStyle w:val="a6"/>
        </w:rPr>
        <w:footnoteRef/>
      </w:r>
      <w:r>
        <w:t xml:space="preserve"> Полани М. Личностное знание. М., 1985.</w:t>
      </w:r>
    </w:p>
  </w:footnote>
  <w:footnote w:id="17">
    <w:p w:rsidR="00000000" w:rsidRDefault="002B390A">
      <w:pPr>
        <w:pStyle w:val="a5"/>
        <w:jc w:val="both"/>
      </w:pPr>
      <w:r>
        <w:rPr>
          <w:rStyle w:val="a6"/>
        </w:rPr>
        <w:footnoteRef/>
      </w:r>
      <w:r>
        <w:t xml:space="preserve"> Речь идет, естественно, не о профессиональных методологах науки, а об ученых, составляющих основную массу научного сообщества. Понятно, что для специалиста в философии науки структура научной парадигмы не является подсознательным навыком – однако для большинства ученых-естествоис</w:t>
      </w:r>
      <w:r>
        <w:t xml:space="preserve">пытателей это, увы, действительно так. </w:t>
      </w:r>
    </w:p>
  </w:footnote>
  <w:footnote w:id="18">
    <w:p w:rsidR="00000000" w:rsidRDefault="002B390A">
      <w:pPr>
        <w:pStyle w:val="a5"/>
        <w:jc w:val="both"/>
      </w:pPr>
      <w:r>
        <w:rPr>
          <w:rStyle w:val="a6"/>
        </w:rPr>
        <w:footnoteRef/>
      </w:r>
      <w:r>
        <w:t xml:space="preserve"> Степин В.С., Горохов В.Г., Розов М.А. Философия науки и техники. С. 79, 177.</w:t>
      </w:r>
    </w:p>
  </w:footnote>
  <w:footnote w:id="19">
    <w:p w:rsidR="00000000" w:rsidRDefault="002B390A">
      <w:pPr>
        <w:pStyle w:val="a5"/>
        <w:jc w:val="both"/>
      </w:pPr>
      <w:r>
        <w:rPr>
          <w:rStyle w:val="a6"/>
        </w:rPr>
        <w:footnoteRef/>
      </w:r>
      <w:r>
        <w:t xml:space="preserve"> Там же. Гл. 9.</w:t>
      </w:r>
    </w:p>
  </w:footnote>
  <w:footnote w:id="20">
    <w:p w:rsidR="00000000" w:rsidRDefault="002B390A">
      <w:pPr>
        <w:pStyle w:val="a5"/>
        <w:jc w:val="both"/>
      </w:pPr>
      <w:r>
        <w:rPr>
          <w:rStyle w:val="a6"/>
        </w:rPr>
        <w:footnoteRef/>
      </w:r>
      <w:r>
        <w:t xml:space="preserve"> Цит. по: Мостепаненко А.М. Методологические и философские проблемы современной физики. Л., 1977. С. 23.</w:t>
      </w:r>
    </w:p>
  </w:footnote>
  <w:footnote w:id="21">
    <w:p w:rsidR="00000000" w:rsidRDefault="002B390A">
      <w:pPr>
        <w:pStyle w:val="a5"/>
        <w:jc w:val="both"/>
      </w:pPr>
      <w:r>
        <w:rPr>
          <w:rStyle w:val="a6"/>
        </w:rPr>
        <w:footnoteRef/>
      </w:r>
      <w:r>
        <w:t xml:space="preserve"> Тарт Ч. Практика внимательности в повседневной жизни. М., 1996; Гроф С. За пределами мозга. М., 1993.</w:t>
      </w:r>
    </w:p>
  </w:footnote>
  <w:footnote w:id="22">
    <w:p w:rsidR="00000000" w:rsidRDefault="002B390A">
      <w:pPr>
        <w:pStyle w:val="a5"/>
        <w:jc w:val="both"/>
      </w:pPr>
      <w:r>
        <w:rPr>
          <w:rStyle w:val="a6"/>
        </w:rPr>
        <w:footnoteRef/>
      </w:r>
      <w:r>
        <w:t xml:space="preserve"> Фейерабенд П. Избранные труды по методологии науки. С. 501.</w:t>
      </w:r>
    </w:p>
  </w:footnote>
  <w:footnote w:id="23">
    <w:p w:rsidR="00000000" w:rsidRDefault="002B390A">
      <w:pPr>
        <w:pStyle w:val="a5"/>
        <w:jc w:val="both"/>
      </w:pPr>
      <w:r>
        <w:rPr>
          <w:rStyle w:val="a6"/>
        </w:rPr>
        <w:footnoteRef/>
      </w:r>
      <w:r>
        <w:t xml:space="preserve"> Дилтс Р. Изменение убеждений с помощью НЛП. М., 1999. С. 66.</w:t>
      </w:r>
    </w:p>
  </w:footnote>
  <w:footnote w:id="24">
    <w:p w:rsidR="00000000" w:rsidRDefault="002B390A">
      <w:pPr>
        <w:pStyle w:val="a5"/>
        <w:jc w:val="both"/>
      </w:pPr>
      <w:r>
        <w:rPr>
          <w:rStyle w:val="a6"/>
        </w:rPr>
        <w:footnoteRef/>
      </w:r>
      <w:r>
        <w:t xml:space="preserve"> Фейерабенд П. Избранные труды по методо</w:t>
      </w:r>
      <w:r>
        <w:t>логии науки. С. 500-501.</w:t>
      </w:r>
    </w:p>
  </w:footnote>
  <w:footnote w:id="25">
    <w:p w:rsidR="00000000" w:rsidRDefault="002B390A">
      <w:pPr>
        <w:pStyle w:val="a5"/>
        <w:jc w:val="both"/>
      </w:pPr>
      <w:r>
        <w:rPr>
          <w:rStyle w:val="a6"/>
        </w:rPr>
        <w:footnoteRef/>
      </w:r>
      <w:r>
        <w:t xml:space="preserve"> Детальные описания такого рода процессов даны Р.Бэндлером и Р.Дилтсом: Бэндлер Р. Используйте свой мозг для изменения. СПб., 1994. С. 110-124, 140-163; Дилтс Р. Изменение убеждений с помощью НЛП. С. 129-160.</w:t>
      </w:r>
    </w:p>
  </w:footnote>
  <w:footnote w:id="26">
    <w:p w:rsidR="00000000" w:rsidRDefault="002B390A">
      <w:pPr>
        <w:pStyle w:val="a5"/>
        <w:jc w:val="both"/>
      </w:pPr>
      <w:r>
        <w:rPr>
          <w:rStyle w:val="a6"/>
        </w:rPr>
        <w:footnoteRef/>
      </w:r>
      <w:r>
        <w:t xml:space="preserve"> И.Пригожин и И.Стенгерс в связи с этим указывают, что этот вывод следует уже из теоремы Геделя о неполноте: «Не существует конечной аксиоматической системы, в рамках которой были бы разрешимы все проблемы» - Время, хаос, квант. М., 1999. С. 255. </w:t>
      </w:r>
    </w:p>
  </w:footnote>
  <w:footnote w:id="27">
    <w:p w:rsidR="00000000" w:rsidRDefault="002B390A">
      <w:pPr>
        <w:pStyle w:val="a5"/>
        <w:jc w:val="both"/>
      </w:pPr>
      <w:r>
        <w:rPr>
          <w:rStyle w:val="a6"/>
        </w:rPr>
        <w:footnoteRef/>
      </w:r>
      <w:r>
        <w:t xml:space="preserve"> Фейерабенд П. Избранные тр</w:t>
      </w:r>
      <w:r>
        <w:t>уды по методологии науки. С. 503.</w:t>
      </w:r>
    </w:p>
  </w:footnote>
  <w:footnote w:id="28">
    <w:p w:rsidR="00000000" w:rsidRDefault="002B390A">
      <w:pPr>
        <w:pStyle w:val="a5"/>
        <w:jc w:val="both"/>
      </w:pPr>
      <w:r>
        <w:rPr>
          <w:rStyle w:val="a6"/>
        </w:rPr>
        <w:footnoteRef/>
      </w:r>
      <w:r>
        <w:t xml:space="preserve"> Там же. С. 329.</w:t>
      </w:r>
    </w:p>
  </w:footnote>
  <w:footnote w:id="29">
    <w:p w:rsidR="00000000" w:rsidRDefault="002B390A">
      <w:pPr>
        <w:pStyle w:val="a5"/>
        <w:jc w:val="both"/>
      </w:pPr>
      <w:r>
        <w:rPr>
          <w:rStyle w:val="a6"/>
        </w:rPr>
        <w:footnoteRef/>
      </w:r>
      <w:r>
        <w:t xml:space="preserve"> Мамчур Е.А. Проблема выбора теории. К анализу переходных ситуаций в развитии физического знания. М.: Наука, 1975. С. 166-167.</w:t>
      </w:r>
    </w:p>
  </w:footnote>
  <w:footnote w:id="30">
    <w:p w:rsidR="00000000" w:rsidRDefault="002B390A">
      <w:pPr>
        <w:pStyle w:val="a5"/>
        <w:jc w:val="both"/>
      </w:pPr>
      <w:r>
        <w:rPr>
          <w:rStyle w:val="a6"/>
        </w:rPr>
        <w:footnoteRef/>
      </w:r>
      <w:r>
        <w:t xml:space="preserve"> Поппер К. Что такое диалектика? // Вопросы философии, 1995, № 1. С. 118-138.</w:t>
      </w:r>
    </w:p>
  </w:footnote>
  <w:footnote w:id="31">
    <w:p w:rsidR="00000000" w:rsidRDefault="002B390A">
      <w:pPr>
        <w:pStyle w:val="a5"/>
        <w:jc w:val="both"/>
      </w:pPr>
      <w:r>
        <w:rPr>
          <w:rStyle w:val="a6"/>
        </w:rPr>
        <w:footnoteRef/>
      </w:r>
      <w:r>
        <w:t xml:space="preserve"> Там же. С. 120-122.</w:t>
      </w:r>
    </w:p>
  </w:footnote>
  <w:footnote w:id="32">
    <w:p w:rsidR="00000000" w:rsidRDefault="002B390A">
      <w:pPr>
        <w:pStyle w:val="a5"/>
        <w:jc w:val="both"/>
      </w:pPr>
      <w:r>
        <w:rPr>
          <w:rStyle w:val="a6"/>
        </w:rPr>
        <w:footnoteRef/>
      </w:r>
      <w:r>
        <w:t xml:space="preserve"> Там же. С. 123-125.</w:t>
      </w:r>
    </w:p>
  </w:footnote>
  <w:footnote w:id="33">
    <w:p w:rsidR="00000000" w:rsidRDefault="002B390A">
      <w:pPr>
        <w:pStyle w:val="a5"/>
        <w:jc w:val="both"/>
      </w:pPr>
      <w:r>
        <w:rPr>
          <w:rStyle w:val="a6"/>
        </w:rPr>
        <w:footnoteRef/>
      </w:r>
      <w:r>
        <w:t xml:space="preserve"> Там же. С</w:t>
      </w:r>
      <w:r>
        <w:rPr>
          <w:lang w:val="en-US"/>
        </w:rPr>
        <w:t>. 127.</w:t>
      </w:r>
    </w:p>
  </w:footnote>
  <w:footnote w:id="34">
    <w:p w:rsidR="00000000" w:rsidRDefault="002B390A">
      <w:pPr>
        <w:pStyle w:val="a5"/>
        <w:jc w:val="both"/>
      </w:pPr>
      <w:r>
        <w:rPr>
          <w:rStyle w:val="a6"/>
        </w:rPr>
        <w:footnoteRef/>
      </w:r>
      <w:r>
        <w:rPr>
          <w:lang w:val="en-US"/>
        </w:rPr>
        <w:t xml:space="preserve"> Bateson G. Steps to An Ecology of Mind. San Francisco: Chandler Publication, 1972.</w:t>
      </w:r>
    </w:p>
  </w:footnote>
  <w:footnote w:id="35">
    <w:p w:rsidR="00000000" w:rsidRDefault="002B390A">
      <w:pPr>
        <w:pStyle w:val="a5"/>
        <w:jc w:val="both"/>
      </w:pPr>
      <w:r>
        <w:rPr>
          <w:rStyle w:val="a6"/>
        </w:rPr>
        <w:footnoteRef/>
      </w:r>
      <w:r>
        <w:t xml:space="preserve"> Бэндлер Р., Гриндер Д. Структура магии. С. 313.</w:t>
      </w:r>
    </w:p>
  </w:footnote>
  <w:footnote w:id="36">
    <w:p w:rsidR="00000000" w:rsidRDefault="002B390A">
      <w:pPr>
        <w:pStyle w:val="a5"/>
        <w:jc w:val="both"/>
      </w:pPr>
      <w:r>
        <w:rPr>
          <w:rStyle w:val="a6"/>
        </w:rPr>
        <w:footnoteRef/>
      </w:r>
      <w:r>
        <w:t xml:space="preserve"> Теория НЛП в психологии является фундаментальной, прош</w:t>
      </w:r>
      <w:r>
        <w:t>едшей обширную практическую проверку. Процесс познания, как процесс психический, по-видимому, подчиняется общим закономерностям функционирования человеческого сознания. Поэтому мы не можем согласиться с оценкой К.Поппером диалектики как «не фундаментальной, но просто описательной теории» - Что такое диалектика? С</w:t>
      </w:r>
      <w:r>
        <w:rPr>
          <w:lang w:val="en-US"/>
        </w:rPr>
        <w:t>. 127.</w:t>
      </w:r>
    </w:p>
  </w:footnote>
  <w:footnote w:id="37">
    <w:p w:rsidR="00000000" w:rsidRDefault="002B390A">
      <w:pPr>
        <w:pStyle w:val="a5"/>
        <w:jc w:val="both"/>
      </w:pPr>
      <w:r>
        <w:rPr>
          <w:rStyle w:val="a6"/>
        </w:rPr>
        <w:footnoteRef/>
      </w:r>
      <w:r>
        <w:rPr>
          <w:lang w:val="en-US"/>
        </w:rPr>
        <w:t xml:space="preserve"> Jung C.G. Experimental Resaarches. Collected Works. Vol. 2, Bollingen Series XX. Princeton: Princeton University Press. </w:t>
      </w:r>
      <w:r>
        <w:t>1973.</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6358E9"/>
    <w:multiLevelType w:val="multilevel"/>
    <w:tmpl w:val="455C4F9E"/>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1"/>
  <w:defaultTabStop w:val="720"/>
  <w:doNotHyphenateCaps/>
  <w:drawingGridHorizontalSpacing w:val="120"/>
  <w:drawingGridVerticalSpacing w:val="120"/>
  <w:displayVerticalDrawingGridEvery w:val="0"/>
  <w:doNotUseMarginsForDrawingGridOrigin/>
  <w:characterSpacingControl w:val="doNotCompress"/>
  <w:footnotePr>
    <w:footnote w:id="0"/>
    <w:footnote w:id="1"/>
  </w:footnotePr>
  <w:endnotePr>
    <w:numFmt w:val="decimal"/>
    <w:endnote w:id="0"/>
    <w:endnote w:id="1"/>
  </w:endnotePr>
  <w:compat/>
  <w:rsids>
    <w:rsidRoot w:val="004B71BA"/>
    <w:rsid w:val="002B390A"/>
    <w:rsid w:val="004B71B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textAlignment w:val="baseline"/>
    </w:pPr>
  </w:style>
  <w:style w:type="paragraph" w:styleId="1">
    <w:name w:val="heading 1"/>
    <w:basedOn w:val="a"/>
    <w:next w:val="a"/>
    <w:qFormat/>
    <w:pPr>
      <w:keepNext/>
      <w:jc w:val="center"/>
      <w:outlineLvl w:val="0"/>
    </w:pPr>
    <w:rPr>
      <w:caps/>
      <w:sz w:val="24"/>
      <w:lang w:val="en-US"/>
    </w:rPr>
  </w:style>
  <w:style w:type="paragraph" w:styleId="2">
    <w:name w:val="heading 2"/>
    <w:basedOn w:val="a"/>
    <w:next w:val="a"/>
    <w:qFormat/>
    <w:pPr>
      <w:keepNext/>
      <w:spacing w:before="240" w:after="60"/>
      <w:outlineLvl w:val="1"/>
    </w:pPr>
    <w:rPr>
      <w:rFonts w:ascii="Arial" w:hAnsi="Arial"/>
      <w:b/>
      <w:i/>
      <w:sz w:val="24"/>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aaieiaie1">
    <w:name w:val="caaieiaie 1"/>
    <w:basedOn w:val="a"/>
    <w:next w:val="a"/>
    <w:pPr>
      <w:keepNext/>
      <w:spacing w:line="360" w:lineRule="auto"/>
      <w:jc w:val="both"/>
    </w:pPr>
    <w:rPr>
      <w:caps/>
      <w:sz w:val="24"/>
    </w:rPr>
  </w:style>
  <w:style w:type="paragraph" w:customStyle="1" w:styleId="caaieiaie2">
    <w:name w:val="caaieiaie 2"/>
    <w:basedOn w:val="a"/>
    <w:next w:val="a"/>
    <w:pPr>
      <w:keepNext/>
    </w:pPr>
    <w:rPr>
      <w:sz w:val="24"/>
    </w:rPr>
  </w:style>
  <w:style w:type="paragraph" w:customStyle="1" w:styleId="caaieiaie3">
    <w:name w:val="caaieiaie 3"/>
    <w:basedOn w:val="a"/>
    <w:next w:val="a"/>
    <w:pPr>
      <w:keepNext/>
      <w:spacing w:before="240" w:after="60"/>
    </w:pPr>
    <w:rPr>
      <w:rFonts w:ascii="Arial" w:hAnsi="Arial"/>
      <w:sz w:val="24"/>
    </w:rPr>
  </w:style>
  <w:style w:type="paragraph" w:customStyle="1" w:styleId="caaieiaie4">
    <w:name w:val="caaieiaie 4"/>
    <w:basedOn w:val="a"/>
    <w:next w:val="a"/>
    <w:pPr>
      <w:keepNext/>
      <w:spacing w:line="480" w:lineRule="auto"/>
      <w:jc w:val="center"/>
    </w:pPr>
    <w:rPr>
      <w:b/>
      <w:i/>
      <w:sz w:val="24"/>
    </w:rPr>
  </w:style>
  <w:style w:type="character" w:customStyle="1" w:styleId="Iniiaiieoeoo">
    <w:name w:val="Iniiaiie o?eoo"/>
  </w:style>
  <w:style w:type="paragraph" w:customStyle="1" w:styleId="Bodytext">
    <w:name w:val="Body text"/>
    <w:pPr>
      <w:widowControl w:val="0"/>
      <w:overflowPunct w:val="0"/>
      <w:autoSpaceDE w:val="0"/>
      <w:autoSpaceDN w:val="0"/>
      <w:adjustRightInd w:val="0"/>
      <w:ind w:firstLine="283"/>
      <w:jc w:val="both"/>
      <w:textAlignment w:val="baseline"/>
    </w:pPr>
    <w:rPr>
      <w:color w:val="000000"/>
      <w:sz w:val="22"/>
    </w:rPr>
  </w:style>
  <w:style w:type="character" w:customStyle="1" w:styleId="ciaeniinee">
    <w:name w:val="ciae niinee"/>
    <w:basedOn w:val="Iniiaiieoeoo"/>
    <w:rPr>
      <w:vertAlign w:val="superscript"/>
    </w:rPr>
  </w:style>
  <w:style w:type="paragraph" w:customStyle="1" w:styleId="BodyText2">
    <w:name w:val="Body Text 2"/>
    <w:basedOn w:val="a"/>
    <w:rPr>
      <w:b/>
      <w:u w:val="single"/>
    </w:rPr>
  </w:style>
  <w:style w:type="paragraph" w:styleId="a3">
    <w:name w:val="Body Text"/>
    <w:basedOn w:val="a"/>
    <w:semiHidden/>
    <w:pPr>
      <w:jc w:val="both"/>
    </w:pPr>
    <w:rPr>
      <w:sz w:val="24"/>
    </w:rPr>
  </w:style>
  <w:style w:type="paragraph" w:customStyle="1" w:styleId="iaeaaeaiea1">
    <w:name w:val="iaeaaeaiea 1"/>
    <w:basedOn w:val="a"/>
    <w:next w:val="a"/>
    <w:pPr>
      <w:spacing w:line="360" w:lineRule="auto"/>
      <w:jc w:val="both"/>
    </w:pPr>
    <w:rPr>
      <w:sz w:val="24"/>
    </w:rPr>
  </w:style>
  <w:style w:type="paragraph" w:customStyle="1" w:styleId="oaenoniinee">
    <w:name w:val="oaeno niinee"/>
    <w:basedOn w:val="a"/>
  </w:style>
  <w:style w:type="character" w:customStyle="1" w:styleId="Hyperlink">
    <w:name w:val="Hyperlink"/>
    <w:basedOn w:val="Iniiaiieoeoo"/>
    <w:rPr>
      <w:color w:val="0000FF"/>
      <w:u w:val="single"/>
    </w:rPr>
  </w:style>
  <w:style w:type="paragraph" w:customStyle="1" w:styleId="BodyText3">
    <w:name w:val="Body Text 3"/>
    <w:basedOn w:val="a"/>
    <w:pPr>
      <w:spacing w:line="480" w:lineRule="auto"/>
      <w:jc w:val="center"/>
    </w:pPr>
    <w:rPr>
      <w:caps/>
      <w:sz w:val="28"/>
    </w:rPr>
  </w:style>
  <w:style w:type="paragraph" w:styleId="a4">
    <w:name w:val="footer"/>
    <w:basedOn w:val="a"/>
    <w:semiHidden/>
    <w:pPr>
      <w:tabs>
        <w:tab w:val="center" w:pos="4153"/>
        <w:tab w:val="right" w:pos="8306"/>
      </w:tabs>
    </w:pPr>
  </w:style>
  <w:style w:type="character" w:customStyle="1" w:styleId="iiianoaieou">
    <w:name w:val="iiia? no?aieou"/>
    <w:basedOn w:val="Iniiaiieoeoo"/>
  </w:style>
  <w:style w:type="paragraph" w:styleId="a5">
    <w:name w:val="footnote text"/>
    <w:basedOn w:val="a"/>
    <w:semiHidden/>
  </w:style>
  <w:style w:type="character" w:styleId="a6">
    <w:name w:val="footnote reference"/>
    <w:basedOn w:val="a0"/>
    <w:semiHidden/>
    <w:rPr>
      <w:vertAlign w:val="superscript"/>
    </w:rPr>
  </w:style>
  <w:style w:type="paragraph" w:customStyle="1" w:styleId="BodyText20">
    <w:name w:val="Body Text 2"/>
    <w:basedOn w:val="a"/>
    <w:pPr>
      <w:spacing w:line="480" w:lineRule="auto"/>
      <w:jc w:val="center"/>
    </w:pPr>
    <w:rPr>
      <w:caps/>
      <w:sz w:val="24"/>
      <w:lang w:val="en-US"/>
    </w:rPr>
  </w:style>
  <w:style w:type="paragraph" w:customStyle="1" w:styleId="BodyTextIndent3">
    <w:name w:val="Body Text Indent 3"/>
    <w:basedOn w:val="a"/>
    <w:pPr>
      <w:ind w:left="426"/>
      <w:jc w:val="both"/>
    </w:pPr>
    <w:rPr>
      <w:sz w:val="24"/>
    </w:rPr>
  </w:style>
  <w:style w:type="paragraph" w:styleId="a7">
    <w:name w:val="endnote text"/>
    <w:basedOn w:val="a"/>
    <w:semiHidden/>
  </w:style>
  <w:style w:type="character" w:styleId="a8">
    <w:name w:val="endnote reference"/>
    <w:basedOn w:val="a0"/>
    <w:semiHidden/>
    <w:rPr>
      <w:vertAlign w:val="superscript"/>
    </w:rPr>
  </w:style>
  <w:style w:type="character" w:styleId="a9">
    <w:name w:val="page number"/>
    <w:basedOn w:val="a0"/>
    <w:semiHidden/>
  </w:style>
  <w:style w:type="character" w:customStyle="1" w:styleId="Hyperlink0">
    <w:name w:val="Hyperlink"/>
    <w:basedOn w:val="a0"/>
    <w:rPr>
      <w:color w:val="0000FF"/>
      <w:u w:val="single"/>
    </w:rPr>
  </w:style>
  <w:style w:type="paragraph" w:customStyle="1" w:styleId="caaieiaie30">
    <w:name w:val="caaieiaie 3"/>
    <w:basedOn w:val="a"/>
    <w:next w:val="a"/>
    <w:pPr>
      <w:keepNext/>
      <w:spacing w:line="360" w:lineRule="auto"/>
      <w:jc w:val="center"/>
    </w:pPr>
    <w:rPr>
      <w:b/>
    </w:rPr>
  </w:style>
  <w:style w:type="paragraph" w:customStyle="1" w:styleId="BodyText21">
    <w:name w:val="Body Text 2"/>
    <w:basedOn w:val="a"/>
    <w:pPr>
      <w:spacing w:line="432" w:lineRule="auto"/>
      <w:ind w:left="284" w:hanging="284"/>
    </w:pPr>
    <w:rPr>
      <w:rFonts w:ascii="Arial" w:hAnsi="Arial"/>
      <w:sz w:val="26"/>
    </w:rPr>
  </w:style>
  <w:style w:type="character" w:customStyle="1" w:styleId="FollowedHyperlink">
    <w:name w:val="FollowedHyperlink"/>
    <w:basedOn w:val="a0"/>
    <w:rPr>
      <w:color w:val="800080"/>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18</Pages>
  <Words>4059</Words>
  <Characters>23139</Characters>
  <Application>Microsoft Office Word</Application>
  <DocSecurity>0</DocSecurity>
  <Lines>192</Lines>
  <Paragraphs>54</Paragraphs>
  <ScaleCrop>false</ScaleCrop>
  <HeadingPairs>
    <vt:vector size="2" baseType="variant">
      <vt:variant>
        <vt:lpstr>В заглавии должно быть указано: название статьи, инициалы и фамилия автора (или авторов); в конце статьи – полное наименование места работы автора (авторов) с почтовым адресом, номером служебного телефона, факса, электронной почты, его должность, ученая </vt:lpstr>
      </vt:variant>
      <vt:variant>
        <vt:i4>0</vt:i4>
      </vt:variant>
    </vt:vector>
  </HeadingPairs>
  <Company>ГИ КНЦ</Company>
  <LinksUpToDate>false</LinksUpToDate>
  <CharactersWithSpaces>27144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 заглавии должно быть указано: название статьи, инициалы и фамилия автора (или авторов); в конце статьи – полное наименование места работы автора (авторов) с почтовым адресом, номером служебного телефона, факса, электронной почты, его должность, ученая </dc:title>
  <dc:subject/>
  <dc:creator>Егоров</dc:creator>
  <cp:keywords/>
  <dc:description/>
  <cp:lastModifiedBy>slawa</cp:lastModifiedBy>
  <cp:revision>2</cp:revision>
  <dcterms:created xsi:type="dcterms:W3CDTF">2008-08-07T18:48:00Z</dcterms:created>
  <dcterms:modified xsi:type="dcterms:W3CDTF">2008-08-07T18:48:00Z</dcterms:modified>
</cp:coreProperties>
</file>